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665B">
      <w:pPr>
        <w:autoSpaceDE w:val="0"/>
        <w:autoSpaceDN w:val="0"/>
        <w:spacing w:line="500" w:lineRule="atLeast"/>
        <w:jc w:val="center"/>
        <w:textAlignment w:val="bottom"/>
        <w:rPr>
          <w:rFonts w:hint="eastAsia" w:ascii="宋体" w:hAnsi="宋体" w:cs="宋体"/>
          <w:b/>
          <w:bCs/>
          <w:color w:val="auto"/>
          <w:spacing w:val="120"/>
          <w:sz w:val="72"/>
          <w:szCs w:val="72"/>
          <w:highlight w:val="none"/>
        </w:rPr>
      </w:pPr>
    </w:p>
    <w:p w14:paraId="5B6F3ACA">
      <w:pPr>
        <w:pStyle w:val="2"/>
        <w:rPr>
          <w:rFonts w:hint="eastAsia"/>
          <w:color w:val="auto"/>
          <w:highlight w:val="none"/>
        </w:rPr>
      </w:pPr>
    </w:p>
    <w:p w14:paraId="10EE2F6C">
      <w:pPr>
        <w:autoSpaceDE w:val="0"/>
        <w:autoSpaceDN w:val="0"/>
        <w:spacing w:line="500" w:lineRule="atLeast"/>
        <w:jc w:val="distribute"/>
        <w:textAlignment w:val="bottom"/>
        <w:rPr>
          <w:rFonts w:hint="eastAsia" w:ascii="宋体" w:hAnsi="宋体" w:cs="宋体"/>
          <w:bCs/>
          <w:color w:val="auto"/>
          <w:sz w:val="84"/>
          <w:szCs w:val="84"/>
          <w:highlight w:val="none"/>
        </w:rPr>
      </w:pPr>
      <w:r>
        <w:rPr>
          <w:rFonts w:hint="eastAsia" w:ascii="宋体" w:hAnsi="宋体" w:cs="宋体"/>
          <w:b/>
          <w:bCs/>
          <w:color w:val="auto"/>
          <w:spacing w:val="120"/>
          <w:sz w:val="84"/>
          <w:szCs w:val="84"/>
          <w:highlight w:val="none"/>
        </w:rPr>
        <w:t>温州市国有企业</w:t>
      </w:r>
    </w:p>
    <w:p w14:paraId="6C7B0E53">
      <w:pPr>
        <w:spacing w:line="400" w:lineRule="atLeast"/>
        <w:jc w:val="center"/>
        <w:rPr>
          <w:rFonts w:hint="eastAsia" w:ascii="宋体" w:hAnsi="宋体" w:cs="宋体"/>
          <w:b/>
          <w:color w:val="auto"/>
          <w:sz w:val="52"/>
          <w:highlight w:val="none"/>
        </w:rPr>
      </w:pPr>
    </w:p>
    <w:p w14:paraId="3BE94EB0">
      <w:pPr>
        <w:spacing w:line="400" w:lineRule="atLeast"/>
        <w:jc w:val="center"/>
        <w:rPr>
          <w:rFonts w:hint="eastAsia" w:ascii="宋体" w:hAnsi="宋体" w:cs="宋体"/>
          <w:b/>
          <w:color w:val="auto"/>
          <w:sz w:val="52"/>
          <w:highlight w:val="none"/>
        </w:rPr>
      </w:pPr>
    </w:p>
    <w:p w14:paraId="33B81D5E">
      <w:pPr>
        <w:autoSpaceDE w:val="0"/>
        <w:autoSpaceDN w:val="0"/>
        <w:spacing w:line="500" w:lineRule="atLeast"/>
        <w:jc w:val="center"/>
        <w:textAlignment w:val="bottom"/>
        <w:rPr>
          <w:rFonts w:hint="eastAsia" w:ascii="宋体" w:hAnsi="宋体" w:cs="宋体"/>
          <w:b/>
          <w:color w:val="auto"/>
          <w:sz w:val="72"/>
          <w:szCs w:val="72"/>
          <w:highlight w:val="none"/>
        </w:rPr>
      </w:pPr>
      <w:r>
        <w:rPr>
          <w:rFonts w:hint="eastAsia" w:ascii="宋体" w:hAnsi="宋体" w:cs="宋体"/>
          <w:b/>
          <w:bCs/>
          <w:color w:val="auto"/>
          <w:sz w:val="72"/>
          <w:szCs w:val="72"/>
          <w:highlight w:val="none"/>
        </w:rPr>
        <w:t>采 购 文 件</w:t>
      </w:r>
    </w:p>
    <w:p w14:paraId="6DEC8DB1">
      <w:pPr>
        <w:spacing w:line="400" w:lineRule="atLeast"/>
        <w:jc w:val="center"/>
        <w:rPr>
          <w:rFonts w:hint="eastAsia" w:ascii="宋体" w:hAnsi="宋体" w:cs="宋体"/>
          <w:b/>
          <w:color w:val="auto"/>
          <w:sz w:val="32"/>
          <w:highlight w:val="none"/>
        </w:rPr>
      </w:pPr>
    </w:p>
    <w:p w14:paraId="15CBE5EF">
      <w:pPr>
        <w:jc w:val="center"/>
        <w:rPr>
          <w:rFonts w:hint="eastAsia" w:ascii="宋体" w:hAnsi="宋体" w:cs="宋体"/>
          <w:b/>
          <w:bCs/>
          <w:color w:val="auto"/>
          <w:sz w:val="24"/>
          <w:highlight w:val="none"/>
        </w:rPr>
      </w:pPr>
    </w:p>
    <w:p w14:paraId="4856739C">
      <w:pPr>
        <w:jc w:val="center"/>
        <w:rPr>
          <w:rFonts w:hint="eastAsia" w:ascii="宋体" w:hAnsi="宋体" w:cs="宋体"/>
          <w:b/>
          <w:bCs/>
          <w:color w:val="auto"/>
          <w:sz w:val="24"/>
          <w:highlight w:val="none"/>
        </w:rPr>
      </w:pPr>
    </w:p>
    <w:p w14:paraId="42D34C8A">
      <w:pPr>
        <w:jc w:val="center"/>
        <w:rPr>
          <w:rFonts w:hint="eastAsia" w:ascii="宋体" w:hAnsi="宋体" w:cs="宋体"/>
          <w:b/>
          <w:bCs/>
          <w:color w:val="auto"/>
          <w:sz w:val="24"/>
          <w:highlight w:val="none"/>
        </w:rPr>
      </w:pPr>
    </w:p>
    <w:p w14:paraId="66C5BDF1">
      <w:pPr>
        <w:jc w:val="center"/>
        <w:rPr>
          <w:rFonts w:hint="eastAsia" w:ascii="宋体" w:hAnsi="宋体" w:cs="宋体"/>
          <w:b/>
          <w:bCs/>
          <w:color w:val="auto"/>
          <w:sz w:val="24"/>
          <w:highlight w:val="none"/>
        </w:rPr>
      </w:pPr>
    </w:p>
    <w:p w14:paraId="1B2E8FC0">
      <w:pPr>
        <w:tabs>
          <w:tab w:val="left" w:pos="1276"/>
          <w:tab w:val="left" w:pos="2977"/>
        </w:tabs>
        <w:spacing w:line="600" w:lineRule="exact"/>
        <w:ind w:left="2268" w:leftChars="1080" w:right="-1" w:firstLine="301" w:firstLineChars="1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采购编号</w:t>
      </w:r>
      <w:r>
        <w:rPr>
          <w:rFonts w:hint="eastAsia" w:ascii="宋体" w:hAnsi="宋体" w:cs="宋体"/>
          <w:b/>
          <w:color w:val="auto"/>
          <w:sz w:val="30"/>
          <w:szCs w:val="30"/>
          <w:highlight w:val="none"/>
        </w:rPr>
        <w:tab/>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WGSS-JYJT-Z-2025037（重2）</w:t>
      </w:r>
    </w:p>
    <w:p w14:paraId="2740EF1C">
      <w:pPr>
        <w:tabs>
          <w:tab w:val="left" w:pos="1276"/>
          <w:tab w:val="left" w:pos="2977"/>
        </w:tabs>
        <w:spacing w:line="600" w:lineRule="exact"/>
        <w:ind w:left="3993" w:leftChars="1223" w:right="-1" w:hanging="1425" w:hangingChars="473"/>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采购项目：</w:t>
      </w:r>
      <w:r>
        <w:rPr>
          <w:rFonts w:hint="eastAsia" w:ascii="宋体" w:hAnsi="宋体" w:cs="宋体"/>
          <w:b/>
          <w:color w:val="auto"/>
          <w:sz w:val="30"/>
          <w:szCs w:val="30"/>
          <w:highlight w:val="none"/>
          <w:lang w:eastAsia="zh-CN"/>
        </w:rPr>
        <w:t>蓝牌登高车（重2）</w:t>
      </w:r>
    </w:p>
    <w:p w14:paraId="27F04E55">
      <w:pPr>
        <w:tabs>
          <w:tab w:val="left" w:pos="1276"/>
          <w:tab w:val="left" w:pos="4860"/>
        </w:tabs>
        <w:spacing w:line="600" w:lineRule="exact"/>
        <w:ind w:left="2268" w:leftChars="1080" w:right="-1" w:firstLine="301" w:firstLineChars="100"/>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采购方式：公 开 招 标</w:t>
      </w:r>
    </w:p>
    <w:p w14:paraId="73E7371D">
      <w:pPr>
        <w:jc w:val="left"/>
        <w:rPr>
          <w:rFonts w:hint="eastAsia" w:ascii="宋体" w:hAnsi="宋体" w:cs="宋体"/>
          <w:b/>
          <w:bCs/>
          <w:color w:val="auto"/>
          <w:sz w:val="24"/>
          <w:highlight w:val="none"/>
        </w:rPr>
      </w:pPr>
    </w:p>
    <w:p w14:paraId="40856016">
      <w:pPr>
        <w:jc w:val="left"/>
        <w:rPr>
          <w:rFonts w:hint="eastAsia" w:ascii="宋体" w:hAnsi="宋体" w:cs="宋体"/>
          <w:b/>
          <w:bCs/>
          <w:color w:val="auto"/>
          <w:sz w:val="24"/>
          <w:highlight w:val="none"/>
        </w:rPr>
      </w:pPr>
    </w:p>
    <w:p w14:paraId="70F3D665">
      <w:pPr>
        <w:jc w:val="left"/>
        <w:rPr>
          <w:rFonts w:hint="eastAsia" w:ascii="宋体" w:hAnsi="宋体" w:cs="宋体"/>
          <w:b/>
          <w:bCs/>
          <w:color w:val="auto"/>
          <w:sz w:val="24"/>
          <w:highlight w:val="none"/>
        </w:rPr>
      </w:pPr>
    </w:p>
    <w:p w14:paraId="35F313F6">
      <w:pPr>
        <w:jc w:val="center"/>
        <w:rPr>
          <w:rFonts w:hint="eastAsia" w:ascii="宋体" w:hAnsi="宋体" w:cs="宋体"/>
          <w:b/>
          <w:bCs/>
          <w:color w:val="auto"/>
          <w:sz w:val="24"/>
          <w:highlight w:val="none"/>
        </w:rPr>
      </w:pPr>
    </w:p>
    <w:p w14:paraId="17F228E1">
      <w:pPr>
        <w:jc w:val="center"/>
        <w:rPr>
          <w:rFonts w:hint="eastAsia" w:ascii="宋体" w:hAnsi="宋体" w:cs="宋体"/>
          <w:b/>
          <w:bCs/>
          <w:color w:val="auto"/>
          <w:sz w:val="24"/>
          <w:highlight w:val="none"/>
        </w:rPr>
      </w:pPr>
    </w:p>
    <w:p w14:paraId="5DEA10BF">
      <w:pPr>
        <w:spacing w:line="600" w:lineRule="exact"/>
        <w:rPr>
          <w:rFonts w:hint="eastAsia" w:ascii="宋体" w:hAnsi="宋体" w:cs="宋体"/>
          <w:b/>
          <w:color w:val="auto"/>
          <w:sz w:val="30"/>
          <w:szCs w:val="30"/>
          <w:highlight w:val="none"/>
        </w:rPr>
      </w:pPr>
    </w:p>
    <w:p w14:paraId="2045F13A">
      <w:pPr>
        <w:spacing w:line="600" w:lineRule="exact"/>
        <w:ind w:firstLine="1906" w:firstLineChars="633"/>
        <w:rPr>
          <w:rFonts w:hint="eastAsia" w:ascii="宋体" w:hAnsi="宋体" w:cs="宋体"/>
          <w:b/>
          <w:color w:val="auto"/>
          <w:sz w:val="30"/>
          <w:szCs w:val="30"/>
          <w:highlight w:val="none"/>
        </w:rPr>
      </w:pPr>
      <w:r>
        <w:rPr>
          <w:rFonts w:hint="eastAsia" w:ascii="宋体" w:hAnsi="宋体" w:cs="宋体"/>
          <w:b/>
          <w:color w:val="auto"/>
          <w:sz w:val="30"/>
          <w:szCs w:val="30"/>
          <w:highlight w:val="none"/>
        </w:rPr>
        <w:t>采  购  人：温州交运集团汽车服务有限公司</w:t>
      </w:r>
    </w:p>
    <w:p w14:paraId="3C2620A8">
      <w:pPr>
        <w:spacing w:line="600" w:lineRule="exact"/>
        <w:ind w:firstLine="1906" w:firstLineChars="500"/>
        <w:rPr>
          <w:rFonts w:hint="eastAsia" w:ascii="宋体" w:hAnsi="宋体" w:eastAsia="宋体" w:cs="宋体"/>
          <w:b/>
          <w:color w:val="auto"/>
          <w:spacing w:val="12"/>
          <w:sz w:val="30"/>
          <w:szCs w:val="30"/>
          <w:highlight w:val="none"/>
          <w:lang w:eastAsia="zh-CN"/>
        </w:rPr>
      </w:pPr>
      <w:r>
        <w:rPr>
          <w:rFonts w:hint="eastAsia" w:ascii="宋体" w:hAnsi="宋体" w:cs="宋体"/>
          <w:b/>
          <w:color w:val="auto"/>
          <w:spacing w:val="40"/>
          <w:sz w:val="30"/>
          <w:szCs w:val="30"/>
          <w:highlight w:val="none"/>
        </w:rPr>
        <w:t>采购代理</w:t>
      </w:r>
      <w:r>
        <w:rPr>
          <w:rFonts w:hint="eastAsia" w:ascii="宋体" w:hAnsi="宋体" w:cs="宋体"/>
          <w:b/>
          <w:color w:val="auto"/>
          <w:sz w:val="30"/>
          <w:szCs w:val="30"/>
          <w:highlight w:val="none"/>
        </w:rPr>
        <w:t>：</w:t>
      </w:r>
      <w:r>
        <w:rPr>
          <w:rFonts w:hint="eastAsia" w:ascii="宋体" w:hAnsi="宋体" w:cs="宋体"/>
          <w:b/>
          <w:color w:val="auto"/>
          <w:spacing w:val="12"/>
          <w:sz w:val="30"/>
          <w:szCs w:val="30"/>
          <w:highlight w:val="none"/>
          <w:lang w:eastAsia="zh-CN"/>
        </w:rPr>
        <w:t>浙江恒杰工程管理有限公司</w:t>
      </w:r>
    </w:p>
    <w:p w14:paraId="21607670">
      <w:pPr>
        <w:spacing w:line="600" w:lineRule="exact"/>
        <w:ind w:firstLine="1437" w:firstLineChars="377"/>
        <w:jc w:val="center"/>
        <w:rPr>
          <w:rFonts w:hint="eastAsia" w:ascii="宋体" w:hAnsi="宋体" w:cs="宋体"/>
          <w:b/>
          <w:color w:val="auto"/>
          <w:spacing w:val="40"/>
          <w:sz w:val="30"/>
          <w:szCs w:val="30"/>
          <w:highlight w:val="none"/>
        </w:rPr>
      </w:pPr>
    </w:p>
    <w:p w14:paraId="1097AC41">
      <w:pPr>
        <w:pStyle w:val="16"/>
        <w:rPr>
          <w:rFonts w:hint="eastAsia" w:ascii="宋体" w:hAnsi="宋体" w:cs="宋体"/>
          <w:b/>
          <w:color w:val="auto"/>
          <w:spacing w:val="40"/>
          <w:sz w:val="30"/>
          <w:szCs w:val="30"/>
          <w:highlight w:val="none"/>
        </w:rPr>
      </w:pPr>
    </w:p>
    <w:p w14:paraId="65117E43">
      <w:pPr>
        <w:rPr>
          <w:rFonts w:hint="eastAsia"/>
          <w:color w:val="auto"/>
          <w:highlight w:val="none"/>
        </w:rPr>
      </w:pPr>
    </w:p>
    <w:p w14:paraId="1531D579">
      <w:pPr>
        <w:spacing w:line="600" w:lineRule="exact"/>
        <w:jc w:val="center"/>
        <w:rPr>
          <w:rFonts w:hint="eastAsia" w:ascii="宋体" w:hAnsi="宋体" w:cs="宋体"/>
          <w:b/>
          <w:color w:val="auto"/>
          <w:spacing w:val="40"/>
          <w:sz w:val="30"/>
          <w:szCs w:val="30"/>
          <w:highlight w:val="none"/>
        </w:rPr>
      </w:pPr>
      <w:r>
        <w:rPr>
          <w:rFonts w:hint="eastAsia" w:ascii="宋体" w:hAnsi="宋体" w:cs="宋体"/>
          <w:b/>
          <w:color w:val="auto"/>
          <w:spacing w:val="40"/>
          <w:sz w:val="30"/>
          <w:szCs w:val="30"/>
          <w:highlight w:val="none"/>
        </w:rPr>
        <w:t>二〇二五年</w:t>
      </w:r>
      <w:r>
        <w:rPr>
          <w:rFonts w:hint="eastAsia" w:ascii="宋体" w:hAnsi="宋体" w:cs="宋体"/>
          <w:b/>
          <w:color w:val="auto"/>
          <w:spacing w:val="40"/>
          <w:sz w:val="30"/>
          <w:szCs w:val="30"/>
          <w:highlight w:val="none"/>
          <w:lang w:val="en-US" w:eastAsia="zh-CN"/>
        </w:rPr>
        <w:t>十二</w:t>
      </w:r>
      <w:r>
        <w:rPr>
          <w:rFonts w:hint="eastAsia" w:ascii="宋体" w:hAnsi="宋体" w:cs="宋体"/>
          <w:b/>
          <w:color w:val="auto"/>
          <w:spacing w:val="40"/>
          <w:sz w:val="30"/>
          <w:szCs w:val="30"/>
          <w:highlight w:val="none"/>
        </w:rPr>
        <w:t>月</w:t>
      </w:r>
    </w:p>
    <w:p w14:paraId="37CCD69D">
      <w:pPr>
        <w:spacing w:line="600" w:lineRule="exact"/>
        <w:jc w:val="center"/>
        <w:rPr>
          <w:rFonts w:hint="eastAsia" w:ascii="宋体" w:hAnsi="宋体" w:cs="宋体"/>
          <w:b/>
          <w:bCs/>
          <w:color w:val="auto"/>
          <w:sz w:val="32"/>
          <w:szCs w:val="32"/>
          <w:highlight w:val="none"/>
        </w:rPr>
      </w:pPr>
      <w:r>
        <w:rPr>
          <w:rFonts w:hint="eastAsia" w:ascii="宋体" w:hAnsi="宋体" w:cs="宋体"/>
          <w:color w:val="auto"/>
          <w:spacing w:val="40"/>
          <w:sz w:val="30"/>
          <w:szCs w:val="30"/>
          <w:highlight w:val="none"/>
        </w:rPr>
        <w:br w:type="page"/>
      </w:r>
      <w:r>
        <w:rPr>
          <w:rFonts w:hint="eastAsia" w:ascii="宋体" w:hAnsi="宋体" w:cs="宋体"/>
          <w:b/>
          <w:bCs/>
          <w:color w:val="auto"/>
          <w:sz w:val="32"/>
          <w:szCs w:val="32"/>
          <w:highlight w:val="none"/>
        </w:rPr>
        <w:t>目    录</w:t>
      </w:r>
    </w:p>
    <w:p w14:paraId="1B4C4015">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t>温州市交运集团所属</w:t>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TOC \o "1-3" \h \z \u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_Toc31357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温州交运集团汽车服务有限公司关于蓝牌登高车（重2）（自主）的采购公告</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_Toc31357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3</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3E0595FF">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_Toc32285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第一部分    投标人须知</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_Toc32285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6</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7AB509D1">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_Toc4442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一、 投标人须知前附表</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_Toc4442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6</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5D32E50">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_Toc4603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二、 说明</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_Toc4603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7764522">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_Toc25344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三、 采购文件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_Toc25344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DBC86C2">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_Toc12646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四、 投标文件的编制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_Toc12646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07053056">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_Toc4932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五、 投标文件的递交</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_Toc4932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11</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B362935">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_Toc4653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六、 开标和评标</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_Toc4653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12</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6B5DF837">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_Toc17627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七、 授予合同</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_Toc17627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15</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3F63E07">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_Toc1990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第二部分   采购内容及要求</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_Toc1990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17</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5DFE530">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_Toc12944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第三部分   评标原则及方法</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_Toc12944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20</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7D2D0B2">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_Toc2621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第四部分   合同格式</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_Toc2621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23</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17830FC8">
      <w:pPr>
        <w:pStyle w:val="28"/>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_Toc8971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第五部分   附件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_Toc8971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26</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6ABEB17A">
      <w:pPr>
        <w:pStyle w:val="28"/>
        <w:tabs>
          <w:tab w:val="right" w:leader="dot" w:pos="9638"/>
          <w:tab w:val="clear" w:pos="9628"/>
        </w:tabs>
        <w:rPr>
          <w:rFonts w:hint="eastAsia" w:ascii="宋体" w:hAnsi="宋体" w:cs="宋体"/>
          <w:b/>
          <w:bCs w:val="0"/>
          <w:color w:val="auto"/>
          <w:sz w:val="22"/>
          <w:szCs w:val="22"/>
          <w:highlight w:val="none"/>
        </w:rPr>
      </w:pPr>
      <w:r>
        <w:rPr>
          <w:rFonts w:hint="eastAsia" w:ascii="宋体" w:hAnsi="宋体" w:eastAsia="宋体" w:cs="宋体"/>
          <w:color w:val="auto"/>
          <w:szCs w:val="30"/>
          <w:highlight w:val="none"/>
          <w:lang w:val="en-US" w:eastAsia="zh-CN"/>
        </w:rPr>
        <w:fldChar w:fldCharType="end"/>
      </w:r>
    </w:p>
    <w:p w14:paraId="3A70A6B9">
      <w:pPr>
        <w:spacing w:line="5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1746537D">
      <w:pPr>
        <w:spacing w:line="560" w:lineRule="exact"/>
        <w:rPr>
          <w:rFonts w:hint="eastAsia" w:ascii="宋体" w:hAnsi="宋体" w:cs="宋体"/>
          <w:b/>
          <w:bCs/>
          <w:color w:val="auto"/>
          <w:sz w:val="22"/>
          <w:szCs w:val="22"/>
          <w:highlight w:val="none"/>
        </w:rPr>
      </w:pPr>
    </w:p>
    <w:p w14:paraId="6062C1CE">
      <w:pPr>
        <w:spacing w:line="380" w:lineRule="exact"/>
        <w:ind w:right="720"/>
        <w:rPr>
          <w:rFonts w:hint="eastAsia" w:ascii="宋体" w:hAnsi="宋体" w:cs="宋体"/>
          <w:color w:val="auto"/>
          <w:sz w:val="22"/>
          <w:szCs w:val="22"/>
          <w:highlight w:val="none"/>
        </w:rPr>
      </w:pPr>
    </w:p>
    <w:p w14:paraId="2DC04EA9">
      <w:pPr>
        <w:spacing w:line="380" w:lineRule="exact"/>
        <w:ind w:right="720"/>
        <w:rPr>
          <w:rFonts w:hint="eastAsia" w:ascii="宋体" w:hAnsi="宋体" w:cs="宋体"/>
          <w:color w:val="auto"/>
          <w:sz w:val="22"/>
          <w:szCs w:val="22"/>
          <w:highlight w:val="none"/>
        </w:rPr>
      </w:pPr>
    </w:p>
    <w:p w14:paraId="567C1896">
      <w:pPr>
        <w:spacing w:line="380" w:lineRule="exact"/>
        <w:ind w:right="720"/>
        <w:rPr>
          <w:rFonts w:hint="eastAsia" w:ascii="宋体" w:hAnsi="宋体" w:cs="宋体"/>
          <w:b/>
          <w:color w:val="auto"/>
          <w:kern w:val="0"/>
          <w:sz w:val="28"/>
          <w:szCs w:val="28"/>
          <w:highlight w:val="none"/>
        </w:rPr>
      </w:pPr>
      <w:r>
        <w:rPr>
          <w:rFonts w:hint="eastAsia" w:ascii="宋体" w:hAnsi="宋体" w:cs="宋体"/>
          <w:color w:val="auto"/>
          <w:sz w:val="22"/>
          <w:szCs w:val="22"/>
          <w:highlight w:val="none"/>
        </w:rPr>
        <w:br w:type="page"/>
      </w:r>
    </w:p>
    <w:p w14:paraId="4CB021A4">
      <w:pPr>
        <w:pStyle w:val="4"/>
        <w:tabs>
          <w:tab w:val="left" w:pos="840"/>
        </w:tabs>
        <w:rPr>
          <w:rFonts w:hint="eastAsia" w:ascii="宋体" w:hAnsi="宋体" w:eastAsia="宋体" w:cs="宋体"/>
          <w:color w:val="auto"/>
          <w:sz w:val="30"/>
          <w:szCs w:val="30"/>
          <w:highlight w:val="none"/>
        </w:rPr>
      </w:pPr>
      <w:bookmarkStart w:id="0" w:name="_Toc31357"/>
      <w:bookmarkStart w:id="1" w:name="_Toc44227979"/>
      <w:r>
        <w:rPr>
          <w:rFonts w:hint="eastAsia" w:ascii="宋体" w:hAnsi="宋体" w:eastAsia="宋体" w:cs="宋体"/>
          <w:color w:val="auto"/>
          <w:sz w:val="30"/>
          <w:szCs w:val="30"/>
          <w:highlight w:val="none"/>
        </w:rPr>
        <w:t>温州市交运集团所属温州交运集团汽车服务有限公司关于</w:t>
      </w:r>
      <w:r>
        <w:rPr>
          <w:rFonts w:hint="eastAsia" w:ascii="宋体" w:hAnsi="宋体" w:eastAsia="宋体" w:cs="宋体"/>
          <w:color w:val="auto"/>
          <w:sz w:val="30"/>
          <w:szCs w:val="30"/>
          <w:highlight w:val="none"/>
          <w:lang w:eastAsia="zh-CN"/>
        </w:rPr>
        <w:t>蓝牌登高车（重2）</w:t>
      </w:r>
      <w:r>
        <w:rPr>
          <w:rFonts w:hint="eastAsia" w:ascii="宋体" w:hAnsi="宋体" w:eastAsia="宋体" w:cs="宋体"/>
          <w:color w:val="auto"/>
          <w:sz w:val="30"/>
          <w:szCs w:val="30"/>
          <w:highlight w:val="none"/>
        </w:rPr>
        <w:t>（自主）的采购公告</w:t>
      </w:r>
      <w:bookmarkEnd w:id="0"/>
      <w:bookmarkEnd w:id="1"/>
    </w:p>
    <w:p w14:paraId="24B1C81E">
      <w:pPr>
        <w:widowControl/>
        <w:spacing w:line="40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根据《温州市市属国有企业采购管理办法》等有关规定，</w:t>
      </w:r>
      <w:r>
        <w:rPr>
          <w:rFonts w:hint="eastAsia" w:ascii="宋体" w:hAnsi="宋体" w:cs="宋体"/>
          <w:color w:val="auto"/>
          <w:kern w:val="0"/>
          <w:sz w:val="22"/>
          <w:szCs w:val="22"/>
          <w:highlight w:val="none"/>
          <w:lang w:eastAsia="zh-CN"/>
        </w:rPr>
        <w:t>浙江恒杰工程管理有限公司</w:t>
      </w:r>
      <w:r>
        <w:rPr>
          <w:rFonts w:hint="eastAsia" w:ascii="宋体" w:hAnsi="宋体" w:cs="宋体"/>
          <w:color w:val="auto"/>
          <w:kern w:val="0"/>
          <w:sz w:val="22"/>
          <w:szCs w:val="22"/>
          <w:highlight w:val="none"/>
        </w:rPr>
        <w:t>受温州交运集团汽车服务有限公司委托，就</w:t>
      </w:r>
      <w:r>
        <w:rPr>
          <w:rFonts w:hint="eastAsia" w:ascii="宋体" w:hAnsi="宋体" w:cs="宋体"/>
          <w:bCs/>
          <w:color w:val="auto"/>
          <w:kern w:val="0"/>
          <w:sz w:val="22"/>
          <w:szCs w:val="22"/>
          <w:highlight w:val="none"/>
          <w:lang w:eastAsia="zh-CN"/>
        </w:rPr>
        <w:t>蓝牌登高车（重2）</w:t>
      </w:r>
      <w:r>
        <w:rPr>
          <w:rFonts w:hint="eastAsia" w:ascii="宋体" w:hAnsi="宋体" w:cs="宋体"/>
          <w:color w:val="auto"/>
          <w:kern w:val="0"/>
          <w:sz w:val="22"/>
          <w:szCs w:val="22"/>
          <w:highlight w:val="none"/>
        </w:rPr>
        <w:t>以公开招标方式进行国企采购，欢迎国内合格的投标人前来投标。</w:t>
      </w:r>
    </w:p>
    <w:p w14:paraId="220CF537">
      <w:pPr>
        <w:widowControl/>
        <w:spacing w:line="400" w:lineRule="exact"/>
        <w:jc w:val="left"/>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rPr>
        <w:t>一、采购编号：</w:t>
      </w:r>
      <w:r>
        <w:rPr>
          <w:rFonts w:hint="eastAsia" w:ascii="宋体" w:hAnsi="宋体" w:cs="宋体"/>
          <w:b/>
          <w:bCs/>
          <w:color w:val="auto"/>
          <w:kern w:val="0"/>
          <w:sz w:val="22"/>
          <w:szCs w:val="22"/>
          <w:highlight w:val="none"/>
          <w:lang w:eastAsia="zh-CN"/>
        </w:rPr>
        <w:t>WGSS-JYJT-Z-2025037（重2）</w:t>
      </w:r>
    </w:p>
    <w:p w14:paraId="5D5A8210">
      <w:pPr>
        <w:widowControl/>
        <w:spacing w:line="400" w:lineRule="exact"/>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二、采购类型：国企采购（非政府采购项目）</w:t>
      </w:r>
    </w:p>
    <w:p w14:paraId="279522EC">
      <w:pPr>
        <w:widowControl/>
        <w:spacing w:line="400" w:lineRule="exact"/>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三、采购项目概况：（内容、用途、数量、简要技术要求等）</w:t>
      </w:r>
    </w:p>
    <w:tbl>
      <w:tblPr>
        <w:tblStyle w:val="34"/>
        <w:tblW w:w="4998" w:type="pct"/>
        <w:tblInd w:w="0" w:type="dxa"/>
        <w:tblLayout w:type="autofit"/>
        <w:tblCellMar>
          <w:top w:w="0" w:type="dxa"/>
          <w:left w:w="108" w:type="dxa"/>
          <w:bottom w:w="0" w:type="dxa"/>
          <w:right w:w="108" w:type="dxa"/>
        </w:tblCellMar>
      </w:tblPr>
      <w:tblGrid>
        <w:gridCol w:w="934"/>
        <w:gridCol w:w="2810"/>
        <w:gridCol w:w="1959"/>
        <w:gridCol w:w="4147"/>
      </w:tblGrid>
      <w:tr w14:paraId="11DFA7EF">
        <w:tblPrEx>
          <w:tblCellMar>
            <w:top w:w="0" w:type="dxa"/>
            <w:left w:w="108" w:type="dxa"/>
            <w:bottom w:w="0" w:type="dxa"/>
            <w:right w:w="108" w:type="dxa"/>
          </w:tblCellMar>
        </w:tblPrEx>
        <w:trPr>
          <w:trHeight w:val="759" w:hRule="atLeast"/>
        </w:trPr>
        <w:tc>
          <w:tcPr>
            <w:tcW w:w="4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A98AD2">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序号</w:t>
            </w:r>
          </w:p>
        </w:tc>
        <w:tc>
          <w:tcPr>
            <w:tcW w:w="14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38289C">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标项内容</w:t>
            </w:r>
          </w:p>
        </w:tc>
        <w:tc>
          <w:tcPr>
            <w:tcW w:w="9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74AEDC">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预算</w:t>
            </w:r>
          </w:p>
          <w:p w14:paraId="44847E0E">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金额</w:t>
            </w:r>
          </w:p>
        </w:tc>
        <w:tc>
          <w:tcPr>
            <w:tcW w:w="21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3E0C">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简要技术要求、用途</w:t>
            </w:r>
          </w:p>
        </w:tc>
      </w:tr>
      <w:tr w14:paraId="78A1AA00">
        <w:tblPrEx>
          <w:tblCellMar>
            <w:top w:w="0" w:type="dxa"/>
            <w:left w:w="108" w:type="dxa"/>
            <w:bottom w:w="0" w:type="dxa"/>
            <w:right w:w="108" w:type="dxa"/>
          </w:tblCellMar>
        </w:tblPrEx>
        <w:trPr>
          <w:trHeight w:val="743" w:hRule="atLeast"/>
        </w:trPr>
        <w:tc>
          <w:tcPr>
            <w:tcW w:w="4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D985A">
            <w:pPr>
              <w:widowControl/>
              <w:spacing w:before="60" w:after="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w:t>
            </w:r>
          </w:p>
        </w:tc>
        <w:tc>
          <w:tcPr>
            <w:tcW w:w="14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5522A5">
            <w:pPr>
              <w:widowControl/>
              <w:spacing w:before="60" w:after="60"/>
              <w:jc w:val="center"/>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 xml:space="preserve"> </w:t>
            </w:r>
            <w:r>
              <w:rPr>
                <w:rFonts w:hint="eastAsia" w:ascii="宋体" w:hAnsi="宋体" w:cs="宋体"/>
                <w:bCs/>
                <w:color w:val="auto"/>
                <w:kern w:val="0"/>
                <w:sz w:val="22"/>
                <w:szCs w:val="22"/>
                <w:highlight w:val="none"/>
                <w:lang w:val="en-US" w:eastAsia="zh-CN"/>
              </w:rPr>
              <w:t>蓝</w:t>
            </w:r>
            <w:r>
              <w:rPr>
                <w:rFonts w:hint="eastAsia" w:ascii="宋体" w:hAnsi="宋体" w:cs="宋体"/>
                <w:bCs/>
                <w:color w:val="auto"/>
                <w:kern w:val="0"/>
                <w:sz w:val="22"/>
                <w:szCs w:val="22"/>
                <w:highlight w:val="none"/>
                <w:lang w:eastAsia="zh-CN"/>
              </w:rPr>
              <w:t>牌登高车</w:t>
            </w:r>
          </w:p>
        </w:tc>
        <w:tc>
          <w:tcPr>
            <w:tcW w:w="9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1FD4FC">
            <w:pPr>
              <w:widowControl/>
              <w:spacing w:before="60" w:after="60"/>
              <w:ind w:left="60" w:right="60"/>
              <w:jc w:val="center"/>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33</w:t>
            </w:r>
            <w:r>
              <w:rPr>
                <w:rFonts w:hint="eastAsia" w:ascii="宋体" w:hAnsi="宋体" w:eastAsia="宋体" w:cs="宋体"/>
                <w:bCs/>
                <w:color w:val="auto"/>
                <w:kern w:val="0"/>
                <w:sz w:val="22"/>
                <w:szCs w:val="22"/>
                <w:highlight w:val="none"/>
              </w:rPr>
              <w:t>万元</w:t>
            </w:r>
          </w:p>
        </w:tc>
        <w:tc>
          <w:tcPr>
            <w:tcW w:w="21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B0D02">
            <w:pPr>
              <w:widowControl/>
              <w:spacing w:before="60" w:after="6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 xml:space="preserve"> </w:t>
            </w:r>
            <w:r>
              <w:rPr>
                <w:rFonts w:hint="eastAsia" w:ascii="宋体" w:hAnsi="宋体" w:cs="宋体"/>
                <w:bCs/>
                <w:color w:val="auto"/>
                <w:kern w:val="0"/>
                <w:sz w:val="22"/>
                <w:szCs w:val="22"/>
                <w:highlight w:val="none"/>
                <w:lang w:eastAsia="zh-CN"/>
              </w:rPr>
              <w:t>蓝牌登高车</w:t>
            </w:r>
            <w:r>
              <w:rPr>
                <w:rFonts w:hint="eastAsia" w:ascii="宋体" w:hAnsi="宋体" w:eastAsia="宋体" w:cs="宋体"/>
                <w:bCs/>
                <w:color w:val="auto"/>
                <w:kern w:val="0"/>
                <w:sz w:val="22"/>
                <w:szCs w:val="22"/>
                <w:highlight w:val="none"/>
              </w:rPr>
              <w:t>，具体采购内容及要求见采购文件相关部分。</w:t>
            </w:r>
          </w:p>
        </w:tc>
      </w:tr>
    </w:tbl>
    <w:p w14:paraId="5FEA01FD">
      <w:pPr>
        <w:widowControl/>
        <w:spacing w:line="400" w:lineRule="exact"/>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四、投标人资格要求：</w:t>
      </w:r>
    </w:p>
    <w:p w14:paraId="1D26ABE7">
      <w:pPr>
        <w:tabs>
          <w:tab w:val="left" w:pos="360"/>
          <w:tab w:val="left" w:pos="992"/>
        </w:tabs>
        <w:spacing w:line="460" w:lineRule="exact"/>
        <w:ind w:left="425"/>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（一）基本条件：</w:t>
      </w:r>
    </w:p>
    <w:p w14:paraId="294B5283">
      <w:pPr>
        <w:widowControl/>
        <w:spacing w:before="60" w:after="60" w:line="360" w:lineRule="exact"/>
        <w:ind w:left="567" w:leftChars="270" w:right="6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（1）符合《温州市市属国有企业采购管理办法》第十八条对投标人参加温州市国有企业采购活动应当具备的条件的要求；</w:t>
      </w:r>
    </w:p>
    <w:p w14:paraId="60AB5078">
      <w:pPr>
        <w:widowControl/>
        <w:spacing w:before="60" w:after="60" w:line="360" w:lineRule="exact"/>
        <w:ind w:left="567" w:leftChars="270" w:right="60"/>
        <w:jc w:val="left"/>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单位负责人为同一人或者存在直接控股、管理关系的不同投标人，不得参加同一合同项下的采购活动；</w:t>
      </w:r>
    </w:p>
    <w:p w14:paraId="74F8250D">
      <w:pPr>
        <w:widowControl/>
        <w:spacing w:before="60" w:after="60" w:line="360" w:lineRule="exact"/>
        <w:ind w:left="567" w:leftChars="270" w:right="60"/>
        <w:jc w:val="left"/>
        <w:rPr>
          <w:rFonts w:ascii="宋体" w:hAnsi="宋体" w:cs="宋体"/>
          <w:b/>
          <w:color w:val="auto"/>
          <w:sz w:val="22"/>
          <w:szCs w:val="22"/>
          <w:highlight w:val="none"/>
        </w:rPr>
      </w:pPr>
      <w:r>
        <w:rPr>
          <w:rFonts w:hint="eastAsia" w:ascii="宋体" w:hAnsi="宋体" w:cs="宋体"/>
          <w:b/>
          <w:color w:val="auto"/>
          <w:sz w:val="22"/>
          <w:szCs w:val="22"/>
          <w:highlight w:val="none"/>
          <w:lang w:val="zh-CN"/>
        </w:rPr>
        <w:t>（</w:t>
      </w:r>
      <w:r>
        <w:rPr>
          <w:rFonts w:hint="eastAsia" w:ascii="宋体" w:hAnsi="宋体" w:cs="宋体"/>
          <w:b/>
          <w:color w:val="auto"/>
          <w:sz w:val="22"/>
          <w:szCs w:val="22"/>
          <w:highlight w:val="none"/>
        </w:rPr>
        <w:t>3）</w:t>
      </w:r>
      <w:r>
        <w:rPr>
          <w:rFonts w:hint="eastAsia" w:ascii="宋体" w:hAnsi="宋体" w:cs="宋体"/>
          <w:b/>
          <w:color w:val="auto"/>
          <w:sz w:val="22"/>
          <w:szCs w:val="22"/>
          <w:highlight w:val="none"/>
          <w:lang w:val="zh-CN"/>
        </w:rPr>
        <w:t>投标人未被“信用中国”（www.creditchina.gov.cn）、中国政府采购网（www.ccgp.gov.cn）列入失信被执行人、重大税收违法案件当事人名单、采购严重违法失信行为记录名单；</w:t>
      </w:r>
    </w:p>
    <w:p w14:paraId="088887E6">
      <w:pPr>
        <w:tabs>
          <w:tab w:val="left" w:pos="360"/>
          <w:tab w:val="left" w:pos="992"/>
        </w:tabs>
        <w:spacing w:line="460" w:lineRule="exact"/>
        <w:ind w:left="420"/>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（二）特定条件：</w:t>
      </w:r>
    </w:p>
    <w:p w14:paraId="4B58DF23">
      <w:pPr>
        <w:widowControl/>
        <w:spacing w:before="60" w:after="60" w:line="360" w:lineRule="exact"/>
        <w:ind w:left="567" w:leftChars="270" w:right="6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val="zh-CN"/>
        </w:rPr>
        <w:t>（1）</w:t>
      </w:r>
      <w:r>
        <w:rPr>
          <w:rFonts w:hint="eastAsia" w:ascii="宋体" w:hAnsi="宋体" w:cs="宋体"/>
          <w:b/>
          <w:color w:val="auto"/>
          <w:sz w:val="22"/>
          <w:szCs w:val="22"/>
          <w:highlight w:val="none"/>
        </w:rPr>
        <w:t>本项目不接受联合体投标。</w:t>
      </w:r>
    </w:p>
    <w:p w14:paraId="7B5CB9C6">
      <w:pPr>
        <w:widowControl/>
        <w:spacing w:line="400" w:lineRule="exact"/>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五、报名及采购文件发售：</w:t>
      </w:r>
    </w:p>
    <w:p w14:paraId="057AB21C">
      <w:pPr>
        <w:widowControl/>
        <w:spacing w:line="40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1、报名时间：自本公告公布日起至截标之前，报名单位准备好资料均可报名（上午：8:30-11:30   下午：14:30-16:30  双休日及法定节假日除外）。</w:t>
      </w:r>
    </w:p>
    <w:p w14:paraId="0BBA5344">
      <w:pPr>
        <w:widowControl/>
        <w:spacing w:line="400" w:lineRule="exact"/>
        <w:ind w:firstLine="440" w:firstLineChars="200"/>
        <w:jc w:val="left"/>
        <w:rPr>
          <w:rFonts w:hint="eastAsia" w:ascii="宋体" w:hAnsi="宋体" w:cs="宋体"/>
          <w:b/>
          <w:color w:val="auto"/>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b/>
          <w:color w:val="auto"/>
          <w:sz w:val="22"/>
          <w:szCs w:val="22"/>
          <w:highlight w:val="none"/>
        </w:rPr>
        <w:t>报名方式：网上报名（报名网址：</w:t>
      </w:r>
      <w:r>
        <w:rPr>
          <w:rFonts w:hint="eastAsia" w:ascii="宋体" w:hAnsi="宋体" w:cs="宋体"/>
          <w:color w:val="auto"/>
          <w:kern w:val="0"/>
          <w:szCs w:val="21"/>
          <w:highlight w:val="none"/>
        </w:rPr>
        <w:t>https://www.lecaiyun.com/</w:t>
      </w:r>
      <w:r>
        <w:rPr>
          <w:rFonts w:hint="eastAsia" w:ascii="宋体" w:hAnsi="宋体" w:cs="宋体"/>
          <w:b/>
          <w:color w:val="auto"/>
          <w:sz w:val="22"/>
          <w:szCs w:val="22"/>
          <w:highlight w:val="none"/>
        </w:rPr>
        <w:t>）（未注册的投标人请尽早注册，客服电话：95763），</w:t>
      </w:r>
      <w:r>
        <w:rPr>
          <w:rFonts w:hint="eastAsia" w:ascii="宋体" w:hAnsi="宋体" w:cs="宋体"/>
          <w:b/>
          <w:color w:val="auto"/>
          <w:kern w:val="0"/>
          <w:sz w:val="22"/>
          <w:szCs w:val="22"/>
          <w:highlight w:val="none"/>
        </w:rPr>
        <w:t>投标人报名成功后自行下载采购文件</w:t>
      </w:r>
      <w:r>
        <w:rPr>
          <w:rFonts w:hint="eastAsia" w:ascii="宋体" w:hAnsi="宋体" w:cs="宋体"/>
          <w:b/>
          <w:color w:val="auto"/>
          <w:sz w:val="22"/>
          <w:szCs w:val="22"/>
          <w:highlight w:val="none"/>
        </w:rPr>
        <w:t>，还须将书面报名资料提交至采购代理机构并办理购买采购文件事宜。</w:t>
      </w:r>
    </w:p>
    <w:p w14:paraId="390DBAE3">
      <w:pPr>
        <w:widowControl/>
        <w:spacing w:line="400" w:lineRule="exact"/>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、采购文件售价：人民币500元整(售后不退)</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联系代理支付。</w:t>
      </w:r>
    </w:p>
    <w:p w14:paraId="26947ABA">
      <w:pPr>
        <w:widowControl/>
        <w:spacing w:line="380" w:lineRule="exact"/>
        <w:jc w:val="left"/>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六、</w:t>
      </w:r>
      <w:r>
        <w:rPr>
          <w:rFonts w:hint="eastAsia" w:ascii="宋体" w:hAnsi="宋体" w:cs="宋体"/>
          <w:b/>
          <w:bCs/>
          <w:color w:val="auto"/>
          <w:kern w:val="0"/>
          <w:sz w:val="22"/>
          <w:szCs w:val="22"/>
          <w:highlight w:val="none"/>
        </w:rPr>
        <w:t>投标及开标信息</w:t>
      </w:r>
    </w:p>
    <w:p w14:paraId="5F72B7E1">
      <w:pPr>
        <w:widowControl/>
        <w:spacing w:line="440" w:lineRule="exact"/>
        <w:ind w:firstLine="543" w:firstLineChars="246"/>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投标截止时间：</w:t>
      </w:r>
      <w:bookmarkStart w:id="2" w:name="B23_谈判响应文件提交截止日期"/>
      <w:bookmarkEnd w:id="2"/>
      <w:r>
        <w:rPr>
          <w:rFonts w:hint="eastAsia" w:ascii="宋体" w:hAnsi="宋体" w:cs="宋体"/>
          <w:b/>
          <w:bCs/>
          <w:color w:val="auto"/>
          <w:kern w:val="0"/>
          <w:sz w:val="22"/>
          <w:szCs w:val="22"/>
          <w:highlight w:val="none"/>
        </w:rPr>
        <w:t>2025年</w:t>
      </w:r>
      <w:r>
        <w:rPr>
          <w:rFonts w:hint="eastAsia" w:ascii="宋体" w:hAnsi="宋体" w:cs="宋体"/>
          <w:b/>
          <w:bCs/>
          <w:color w:val="auto"/>
          <w:kern w:val="0"/>
          <w:sz w:val="22"/>
          <w:szCs w:val="22"/>
          <w:highlight w:val="none"/>
          <w:lang w:val="en-US" w:eastAsia="zh-CN"/>
        </w:rPr>
        <w:t>12</w:t>
      </w:r>
      <w:r>
        <w:rPr>
          <w:rFonts w:hint="eastAsia" w:ascii="宋体" w:hAnsi="宋体" w:cs="宋体"/>
          <w:b/>
          <w:bCs/>
          <w:color w:val="auto"/>
          <w:kern w:val="0"/>
          <w:sz w:val="22"/>
          <w:szCs w:val="22"/>
          <w:highlight w:val="none"/>
        </w:rPr>
        <w:t>月</w:t>
      </w:r>
      <w:r>
        <w:rPr>
          <w:rFonts w:hint="eastAsia" w:ascii="宋体" w:hAnsi="宋体" w:cs="宋体"/>
          <w:b/>
          <w:bCs/>
          <w:color w:val="auto"/>
          <w:kern w:val="0"/>
          <w:sz w:val="22"/>
          <w:szCs w:val="22"/>
          <w:highlight w:val="none"/>
          <w:lang w:val="en-US" w:eastAsia="zh-CN"/>
        </w:rPr>
        <w:t>18</w:t>
      </w:r>
      <w:r>
        <w:rPr>
          <w:rFonts w:hint="eastAsia" w:ascii="宋体" w:hAnsi="宋体" w:cs="宋体"/>
          <w:b/>
          <w:bCs/>
          <w:color w:val="auto"/>
          <w:kern w:val="0"/>
          <w:sz w:val="22"/>
          <w:szCs w:val="22"/>
          <w:highlight w:val="none"/>
        </w:rPr>
        <w:t>日09时00分整。</w:t>
      </w:r>
    </w:p>
    <w:p w14:paraId="5069E4BB">
      <w:pPr>
        <w:widowControl/>
        <w:spacing w:line="400" w:lineRule="exact"/>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投标文件递交地点：</w:t>
      </w:r>
      <w:r>
        <w:rPr>
          <w:rFonts w:hint="eastAsia" w:ascii="宋体" w:hAnsi="宋体" w:cs="宋体"/>
          <w:color w:val="auto"/>
          <w:kern w:val="0"/>
          <w:sz w:val="22"/>
          <w:szCs w:val="22"/>
          <w:highlight w:val="none"/>
          <w:lang w:eastAsia="zh-CN"/>
        </w:rPr>
        <w:t>温州市鹿城区黎明西路236号国际贸易中心29楼(恒杰代理部)</w:t>
      </w:r>
      <w:r>
        <w:rPr>
          <w:rFonts w:hint="eastAsia" w:ascii="宋体" w:hAnsi="宋体" w:cs="宋体"/>
          <w:color w:val="auto"/>
          <w:kern w:val="0"/>
          <w:sz w:val="22"/>
          <w:szCs w:val="22"/>
          <w:highlight w:val="none"/>
        </w:rPr>
        <w:t>。</w:t>
      </w:r>
    </w:p>
    <w:p w14:paraId="38131CCC">
      <w:pPr>
        <w:widowControl/>
        <w:spacing w:before="60" w:after="60" w:line="380" w:lineRule="exact"/>
        <w:ind w:left="61" w:leftChars="29" w:right="60" w:firstLine="433" w:firstLineChars="196"/>
        <w:jc w:val="left"/>
        <w:rPr>
          <w:rFonts w:hint="eastAsia" w:ascii="宋体" w:hAnsi="宋体" w:cs="宋体"/>
          <w:bCs/>
          <w:color w:val="auto"/>
          <w:kern w:val="0"/>
          <w:sz w:val="22"/>
          <w:szCs w:val="22"/>
          <w:highlight w:val="none"/>
        </w:rPr>
      </w:pPr>
      <w:r>
        <w:rPr>
          <w:rFonts w:hint="eastAsia" w:ascii="宋体" w:hAnsi="宋体" w:cs="宋体"/>
          <w:b/>
          <w:bCs/>
          <w:color w:val="auto"/>
          <w:kern w:val="0"/>
          <w:sz w:val="22"/>
          <w:szCs w:val="22"/>
          <w:highlight w:val="none"/>
        </w:rPr>
        <w:t>开标时间</w:t>
      </w:r>
      <w:r>
        <w:rPr>
          <w:rFonts w:hint="eastAsia" w:ascii="宋体" w:hAnsi="宋体" w:cs="宋体"/>
          <w:bCs/>
          <w:color w:val="auto"/>
          <w:kern w:val="0"/>
          <w:sz w:val="22"/>
          <w:szCs w:val="22"/>
          <w:highlight w:val="none"/>
        </w:rPr>
        <w:t>：</w:t>
      </w:r>
      <w:bookmarkStart w:id="3" w:name="B26_谈判时间日期"/>
      <w:bookmarkEnd w:id="3"/>
      <w:r>
        <w:rPr>
          <w:rFonts w:hint="eastAsia" w:ascii="宋体" w:hAnsi="宋体" w:cs="宋体"/>
          <w:b/>
          <w:bCs/>
          <w:color w:val="auto"/>
          <w:kern w:val="0"/>
          <w:sz w:val="22"/>
          <w:szCs w:val="22"/>
          <w:highlight w:val="none"/>
        </w:rPr>
        <w:t>2025年</w:t>
      </w:r>
      <w:r>
        <w:rPr>
          <w:rFonts w:hint="eastAsia" w:ascii="宋体" w:hAnsi="宋体" w:cs="宋体"/>
          <w:b/>
          <w:bCs/>
          <w:color w:val="auto"/>
          <w:kern w:val="0"/>
          <w:sz w:val="22"/>
          <w:szCs w:val="22"/>
          <w:highlight w:val="none"/>
          <w:lang w:val="en-US" w:eastAsia="zh-CN"/>
        </w:rPr>
        <w:t>12</w:t>
      </w:r>
      <w:r>
        <w:rPr>
          <w:rFonts w:hint="eastAsia" w:ascii="宋体" w:hAnsi="宋体" w:cs="宋体"/>
          <w:b/>
          <w:bCs/>
          <w:color w:val="auto"/>
          <w:kern w:val="0"/>
          <w:sz w:val="22"/>
          <w:szCs w:val="22"/>
          <w:highlight w:val="none"/>
        </w:rPr>
        <w:t>月</w:t>
      </w:r>
      <w:r>
        <w:rPr>
          <w:rFonts w:hint="eastAsia" w:ascii="宋体" w:hAnsi="宋体" w:cs="宋体"/>
          <w:b/>
          <w:bCs/>
          <w:color w:val="auto"/>
          <w:kern w:val="0"/>
          <w:sz w:val="22"/>
          <w:szCs w:val="22"/>
          <w:highlight w:val="none"/>
          <w:lang w:val="en-US" w:eastAsia="zh-CN"/>
        </w:rPr>
        <w:t>18</w:t>
      </w:r>
      <w:r>
        <w:rPr>
          <w:rFonts w:hint="eastAsia" w:ascii="宋体" w:hAnsi="宋体" w:cs="宋体"/>
          <w:b/>
          <w:bCs/>
          <w:color w:val="auto"/>
          <w:kern w:val="0"/>
          <w:sz w:val="22"/>
          <w:szCs w:val="22"/>
          <w:highlight w:val="none"/>
        </w:rPr>
        <w:t>日09时00分整。</w:t>
      </w:r>
    </w:p>
    <w:p w14:paraId="6E98354A">
      <w:pPr>
        <w:widowControl/>
        <w:spacing w:line="400" w:lineRule="exact"/>
        <w:ind w:firstLine="442" w:firstLineChars="200"/>
        <w:jc w:val="left"/>
        <w:rPr>
          <w:rFonts w:hint="eastAsia" w:ascii="宋体" w:hAnsi="宋体" w:cs="宋体"/>
          <w:bCs/>
          <w:color w:val="auto"/>
          <w:kern w:val="0"/>
          <w:sz w:val="22"/>
          <w:szCs w:val="22"/>
          <w:highlight w:val="none"/>
        </w:rPr>
      </w:pPr>
      <w:r>
        <w:rPr>
          <w:rFonts w:hint="eastAsia" w:ascii="宋体" w:hAnsi="宋体" w:cs="宋体"/>
          <w:b/>
          <w:bCs/>
          <w:color w:val="auto"/>
          <w:kern w:val="0"/>
          <w:sz w:val="22"/>
          <w:szCs w:val="22"/>
          <w:highlight w:val="none"/>
        </w:rPr>
        <w:t>开标地点</w:t>
      </w:r>
      <w:r>
        <w:rPr>
          <w:rFonts w:hint="eastAsia" w:ascii="宋体" w:hAnsi="宋体" w:cs="宋体"/>
          <w:bCs/>
          <w:color w:val="auto"/>
          <w:kern w:val="0"/>
          <w:sz w:val="22"/>
          <w:szCs w:val="22"/>
          <w:highlight w:val="none"/>
        </w:rPr>
        <w:t>：</w:t>
      </w:r>
      <w:r>
        <w:rPr>
          <w:rFonts w:hint="eastAsia" w:ascii="宋体" w:hAnsi="宋体" w:cs="宋体"/>
          <w:color w:val="auto"/>
          <w:kern w:val="0"/>
          <w:sz w:val="22"/>
          <w:szCs w:val="22"/>
          <w:highlight w:val="none"/>
          <w:lang w:eastAsia="zh-CN"/>
        </w:rPr>
        <w:t>温州市鹿城区黎明西路236号国际贸易中心29楼(恒杰代理部)</w:t>
      </w:r>
      <w:r>
        <w:rPr>
          <w:rFonts w:hint="eastAsia" w:ascii="宋体" w:hAnsi="宋体" w:cs="宋体"/>
          <w:color w:val="auto"/>
          <w:sz w:val="22"/>
          <w:szCs w:val="22"/>
          <w:highlight w:val="none"/>
        </w:rPr>
        <w:t>。</w:t>
      </w:r>
    </w:p>
    <w:p w14:paraId="16156D9D">
      <w:pPr>
        <w:widowControl/>
        <w:spacing w:before="60" w:after="60" w:line="360" w:lineRule="exact"/>
        <w:ind w:left="60" w:right="6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七、其他事项：</w:t>
      </w:r>
    </w:p>
    <w:p w14:paraId="284D21A9">
      <w:pPr>
        <w:widowControl/>
        <w:numPr>
          <w:ilvl w:val="0"/>
          <w:numId w:val="3"/>
        </w:numPr>
        <w:spacing w:before="60" w:after="60" w:line="380" w:lineRule="exact"/>
        <w:ind w:right="62"/>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购买采购文件时须提交的文件资料：</w:t>
      </w:r>
    </w:p>
    <w:p w14:paraId="7E3E75F3">
      <w:pPr>
        <w:widowControl/>
        <w:numPr>
          <w:ilvl w:val="0"/>
          <w:numId w:val="0"/>
        </w:numPr>
        <w:spacing w:before="60" w:after="60" w:line="380" w:lineRule="exact"/>
        <w:ind w:left="425" w:leftChars="0" w:right="62" w:rightChars="0" w:firstLine="142" w:firstLineChars="0"/>
        <w:jc w:val="left"/>
        <w:rPr>
          <w:rFonts w:hint="eastAsia" w:ascii="宋体" w:hAnsi="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bidi="ar-SA"/>
        </w:rPr>
        <w:t>1)</w:t>
      </w:r>
      <w:r>
        <w:rPr>
          <w:rFonts w:hint="eastAsia" w:ascii="宋体" w:hAnsi="宋体" w:cs="宋体"/>
          <w:bCs/>
          <w:color w:val="auto"/>
          <w:kern w:val="0"/>
          <w:sz w:val="22"/>
          <w:szCs w:val="22"/>
          <w:highlight w:val="none"/>
        </w:rPr>
        <w:t>法定代表授权书或投标单位介绍信</w:t>
      </w:r>
      <w:r>
        <w:rPr>
          <w:rFonts w:hint="eastAsia" w:ascii="宋体" w:hAnsi="宋体" w:cs="宋体"/>
          <w:bCs/>
          <w:color w:val="auto"/>
          <w:kern w:val="0"/>
          <w:sz w:val="22"/>
          <w:szCs w:val="22"/>
          <w:highlight w:val="none"/>
          <w:lang w:eastAsia="zh-CN"/>
        </w:rPr>
        <w:t>（</w:t>
      </w:r>
      <w:r>
        <w:rPr>
          <w:rFonts w:hint="eastAsia" w:ascii="宋体" w:hAnsi="宋体" w:cs="宋体"/>
          <w:bCs/>
          <w:color w:val="auto"/>
          <w:kern w:val="0"/>
          <w:sz w:val="22"/>
          <w:szCs w:val="22"/>
          <w:highlight w:val="none"/>
          <w:lang w:val="en-US" w:eastAsia="zh-CN"/>
        </w:rPr>
        <w:t>含联系方式，并加盖公章</w:t>
      </w:r>
      <w:r>
        <w:rPr>
          <w:rFonts w:hint="eastAsia" w:ascii="宋体" w:hAnsi="宋体" w:cs="宋体"/>
          <w:bCs/>
          <w:color w:val="auto"/>
          <w:kern w:val="0"/>
          <w:sz w:val="22"/>
          <w:szCs w:val="22"/>
          <w:highlight w:val="none"/>
          <w:lang w:eastAsia="zh-CN"/>
        </w:rPr>
        <w:t>）</w:t>
      </w:r>
      <w:r>
        <w:rPr>
          <w:rFonts w:hint="eastAsia" w:ascii="宋体" w:hAnsi="宋体" w:cs="宋体"/>
          <w:bCs/>
          <w:color w:val="auto"/>
          <w:kern w:val="0"/>
          <w:sz w:val="22"/>
          <w:szCs w:val="22"/>
          <w:highlight w:val="none"/>
        </w:rPr>
        <w:t>；</w:t>
      </w:r>
    </w:p>
    <w:p w14:paraId="57E1EDB0">
      <w:pPr>
        <w:widowControl/>
        <w:numPr>
          <w:ilvl w:val="0"/>
          <w:numId w:val="0"/>
        </w:numPr>
        <w:spacing w:before="60" w:after="60" w:line="380" w:lineRule="exact"/>
        <w:ind w:left="425" w:leftChars="0" w:right="62" w:rightChars="0" w:firstLine="142" w:firstLineChars="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lang w:val="en-US" w:eastAsia="zh-CN" w:bidi="ar-SA"/>
        </w:rPr>
        <w:t>2</w:t>
      </w:r>
      <w:r>
        <w:rPr>
          <w:rFonts w:hint="eastAsia" w:ascii="宋体" w:hAnsi="宋体" w:eastAsia="宋体" w:cs="宋体"/>
          <w:bCs/>
          <w:color w:val="auto"/>
          <w:kern w:val="0"/>
          <w:sz w:val="22"/>
          <w:szCs w:val="22"/>
          <w:highlight w:val="none"/>
          <w:lang w:val="en-US" w:eastAsia="zh-CN" w:bidi="ar-SA"/>
        </w:rPr>
        <w:t>)</w:t>
      </w:r>
      <w:r>
        <w:rPr>
          <w:rFonts w:hint="eastAsia" w:ascii="宋体" w:hAnsi="宋体" w:cs="宋体"/>
          <w:bCs/>
          <w:color w:val="auto"/>
          <w:kern w:val="0"/>
          <w:sz w:val="22"/>
          <w:szCs w:val="22"/>
          <w:highlight w:val="none"/>
        </w:rPr>
        <w:t>企业法人营业执照副本；</w:t>
      </w:r>
    </w:p>
    <w:p w14:paraId="15A016EA">
      <w:pPr>
        <w:widowControl/>
        <w:numPr>
          <w:ilvl w:val="0"/>
          <w:numId w:val="0"/>
        </w:numPr>
        <w:spacing w:before="60" w:after="60" w:line="380" w:lineRule="exact"/>
        <w:ind w:left="425" w:leftChars="0" w:right="62" w:rightChars="0" w:firstLine="142" w:firstLineChars="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lang w:val="en-US" w:eastAsia="zh-CN" w:bidi="ar-SA"/>
        </w:rPr>
        <w:t>3</w:t>
      </w:r>
      <w:r>
        <w:rPr>
          <w:rFonts w:hint="eastAsia" w:ascii="宋体" w:hAnsi="宋体" w:eastAsia="宋体" w:cs="宋体"/>
          <w:bCs/>
          <w:color w:val="auto"/>
          <w:kern w:val="0"/>
          <w:sz w:val="22"/>
          <w:szCs w:val="22"/>
          <w:highlight w:val="none"/>
          <w:lang w:val="en-US" w:eastAsia="zh-CN" w:bidi="ar-SA"/>
        </w:rPr>
        <w:t>)</w:t>
      </w:r>
      <w:r>
        <w:rPr>
          <w:rFonts w:hint="eastAsia" w:ascii="宋体" w:hAnsi="宋体" w:cs="宋体"/>
          <w:bCs/>
          <w:color w:val="auto"/>
          <w:kern w:val="0"/>
          <w:sz w:val="22"/>
          <w:szCs w:val="22"/>
          <w:highlight w:val="none"/>
        </w:rPr>
        <w:t>投标人认为需要提供的其他资料。</w:t>
      </w:r>
    </w:p>
    <w:p w14:paraId="646BA071">
      <w:pPr>
        <w:widowControl/>
        <w:numPr>
          <w:ilvl w:val="0"/>
          <w:numId w:val="0"/>
        </w:numPr>
        <w:spacing w:before="60" w:after="60" w:line="380" w:lineRule="exact"/>
        <w:ind w:left="425" w:leftChars="0" w:right="62" w:rightChars="0" w:firstLine="142" w:firstLineChars="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lang w:val="en-US" w:eastAsia="zh-CN" w:bidi="ar-SA"/>
        </w:rPr>
        <w:t>注：</w:t>
      </w:r>
      <w:r>
        <w:rPr>
          <w:rFonts w:hint="eastAsia" w:ascii="宋体" w:hAnsi="宋体" w:cs="宋体"/>
          <w:bCs/>
          <w:color w:val="auto"/>
          <w:kern w:val="0"/>
          <w:sz w:val="22"/>
          <w:szCs w:val="22"/>
          <w:highlight w:val="none"/>
        </w:rPr>
        <w:t>以上资料</w:t>
      </w:r>
      <w:r>
        <w:rPr>
          <w:rFonts w:hint="eastAsia" w:ascii="宋体" w:hAnsi="宋体" w:cs="宋体"/>
          <w:bCs/>
          <w:color w:val="auto"/>
          <w:kern w:val="0"/>
          <w:sz w:val="22"/>
          <w:szCs w:val="22"/>
          <w:highlight w:val="none"/>
          <w:lang w:val="en-US" w:eastAsia="zh-CN"/>
        </w:rPr>
        <w:t>需发送至2716504778@qq.com，并联系代理公司</w:t>
      </w:r>
      <w:r>
        <w:rPr>
          <w:rFonts w:hint="eastAsia" w:ascii="宋体" w:hAnsi="宋体" w:cs="宋体"/>
          <w:bCs/>
          <w:color w:val="auto"/>
          <w:kern w:val="0"/>
          <w:sz w:val="22"/>
          <w:szCs w:val="22"/>
          <w:highlight w:val="none"/>
        </w:rPr>
        <w:t>。</w:t>
      </w:r>
    </w:p>
    <w:p w14:paraId="3FB73319">
      <w:pPr>
        <w:widowControl/>
        <w:spacing w:before="60" w:after="60" w:line="380" w:lineRule="exact"/>
        <w:ind w:left="62" w:right="62"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2、</w:t>
      </w:r>
      <w:r>
        <w:rPr>
          <w:rFonts w:hint="eastAsia" w:ascii="宋体" w:hAnsi="宋体" w:cs="宋体"/>
          <w:color w:val="auto"/>
          <w:kern w:val="0"/>
          <w:sz w:val="22"/>
          <w:szCs w:val="22"/>
          <w:highlight w:val="none"/>
        </w:rPr>
        <w:t>潜在投标人可在乐采云平台（</w:t>
      </w:r>
      <w:r>
        <w:rPr>
          <w:rFonts w:hint="eastAsia" w:ascii="宋体" w:hAnsi="宋体" w:cs="宋体"/>
          <w:color w:val="auto"/>
          <w:kern w:val="0"/>
          <w:szCs w:val="21"/>
          <w:highlight w:val="none"/>
        </w:rPr>
        <w:t>https://www.lecaiyun.com/</w:t>
      </w:r>
      <w:r>
        <w:rPr>
          <w:rFonts w:hint="eastAsia" w:ascii="宋体" w:hAnsi="宋体" w:cs="宋体"/>
          <w:color w:val="auto"/>
          <w:kern w:val="0"/>
          <w:sz w:val="22"/>
          <w:szCs w:val="22"/>
          <w:highlight w:val="none"/>
        </w:rPr>
        <w:t>）进行免费注册，中标人应在合同签订前完成注册并成为正式注册投标人。</w:t>
      </w:r>
    </w:p>
    <w:p w14:paraId="30D67A32">
      <w:pPr>
        <w:widowControl/>
        <w:spacing w:before="60" w:after="60" w:line="380" w:lineRule="exact"/>
        <w:ind w:left="62" w:right="62"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u w:val="single"/>
        </w:rPr>
        <w:t>3、本项目公告期限为7个日历日。</w:t>
      </w:r>
      <w:r>
        <w:rPr>
          <w:rFonts w:hint="eastAsia" w:ascii="宋体" w:hAnsi="宋体" w:cs="宋体"/>
          <w:color w:val="auto"/>
          <w:kern w:val="0"/>
          <w:sz w:val="22"/>
          <w:szCs w:val="22"/>
          <w:highlight w:val="none"/>
          <w:u w:val="single"/>
        </w:rPr>
        <w:t>投标人认为采购文件使自己的权益受到损害的，</w:t>
      </w:r>
      <w:r>
        <w:rPr>
          <w:rFonts w:ascii="新宋体" w:hAnsi="新宋体" w:eastAsia="新宋体" w:cs="新宋体"/>
          <w:color w:val="auto"/>
          <w:sz w:val="22"/>
          <w:szCs w:val="22"/>
          <w:highlight w:val="none"/>
          <w:u w:val="single"/>
        </w:rPr>
        <w:t>可以自采购公告发出之日（采购公告发布当天不算）起</w:t>
      </w:r>
      <w:r>
        <w:rPr>
          <w:rFonts w:hint="eastAsia" w:ascii="新宋体" w:hAnsi="新宋体" w:eastAsia="新宋体" w:cs="新宋体"/>
          <w:color w:val="auto"/>
          <w:sz w:val="22"/>
          <w:szCs w:val="22"/>
          <w:highlight w:val="none"/>
          <w:u w:val="single"/>
        </w:rPr>
        <w:t>6日内，以书面形式向采购人和采购代理机构提出质疑</w:t>
      </w:r>
      <w:r>
        <w:rPr>
          <w:rFonts w:hint="eastAsia" w:ascii="宋体" w:hAnsi="宋体" w:cs="宋体"/>
          <w:color w:val="auto"/>
          <w:kern w:val="0"/>
          <w:sz w:val="22"/>
          <w:szCs w:val="22"/>
          <w:highlight w:val="none"/>
          <w:u w:val="single"/>
        </w:rPr>
        <w:t>。质疑投标人对采购人、采购代理机构的答复不满意或者采购人、采购代理机构未在规定的时间内作出答复的，可以在答复期满后十五个工作日内向采购人的采购监管部门投诉。</w:t>
      </w:r>
    </w:p>
    <w:p w14:paraId="0281599A">
      <w:pPr>
        <w:widowControl/>
        <w:spacing w:before="60" w:after="60" w:line="380" w:lineRule="exact"/>
        <w:ind w:left="62" w:right="62" w:firstLine="440" w:firstLineChars="200"/>
        <w:jc w:val="left"/>
        <w:rPr>
          <w:rFonts w:hint="eastAsia" w:ascii="宋体" w:hAnsi="宋体" w:cs="宋体"/>
          <w:bCs/>
          <w:color w:val="auto"/>
          <w:kern w:val="0"/>
          <w:sz w:val="22"/>
          <w:szCs w:val="22"/>
          <w:highlight w:val="none"/>
          <w:u w:val="single"/>
        </w:rPr>
      </w:pPr>
      <w:r>
        <w:rPr>
          <w:rFonts w:hint="eastAsia" w:ascii="宋体" w:hAnsi="宋体" w:cs="宋体"/>
          <w:bCs/>
          <w:color w:val="auto"/>
          <w:kern w:val="0"/>
          <w:sz w:val="22"/>
          <w:szCs w:val="22"/>
          <w:highlight w:val="none"/>
        </w:rPr>
        <w:t>4、</w:t>
      </w:r>
      <w:r>
        <w:rPr>
          <w:rFonts w:hint="eastAsia" w:ascii="宋体" w:hAnsi="宋体" w:cs="宋体"/>
          <w:bCs/>
          <w:color w:val="auto"/>
          <w:kern w:val="0"/>
          <w:sz w:val="22"/>
          <w:szCs w:val="22"/>
          <w:highlight w:val="none"/>
          <w:u w:val="single"/>
        </w:rPr>
        <w:t>温州交运集团汽车服务有限公司负责对投标人反映的企业本部及所属企业在采购活动中出现的违法违规问题进行答疑回复。投标人认为温州交运集团汽车服务有限公司答疑回复处理结果不合法的，可以采购人或代理机构为对象依法向人民法院提起诉讼。</w:t>
      </w:r>
    </w:p>
    <w:p w14:paraId="62D4A6F0">
      <w:pPr>
        <w:widowControl/>
        <w:spacing w:before="60" w:after="60" w:line="380" w:lineRule="exact"/>
        <w:ind w:left="62" w:right="62"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5、书面质疑受理地点：</w:t>
      </w:r>
      <w:r>
        <w:rPr>
          <w:rFonts w:hint="eastAsia" w:ascii="宋体" w:hAnsi="宋体" w:cs="宋体"/>
          <w:color w:val="auto"/>
          <w:kern w:val="0"/>
          <w:sz w:val="22"/>
          <w:szCs w:val="22"/>
          <w:highlight w:val="none"/>
          <w:lang w:eastAsia="zh-CN"/>
        </w:rPr>
        <w:t>温州市鹿城区黎明西路236号国际贸易中心29楼(恒杰代理部)</w:t>
      </w:r>
      <w:r>
        <w:rPr>
          <w:rFonts w:hint="eastAsia" w:ascii="宋体" w:hAnsi="宋体" w:cs="宋体"/>
          <w:bCs/>
          <w:color w:val="auto"/>
          <w:kern w:val="0"/>
          <w:sz w:val="22"/>
          <w:szCs w:val="22"/>
          <w:highlight w:val="none"/>
        </w:rPr>
        <w:t>，联系人：</w:t>
      </w:r>
      <w:r>
        <w:rPr>
          <w:rFonts w:hint="eastAsia" w:ascii="宋体" w:hAnsi="宋体" w:cs="宋体"/>
          <w:bCs/>
          <w:color w:val="auto"/>
          <w:kern w:val="0"/>
          <w:sz w:val="22"/>
          <w:szCs w:val="22"/>
          <w:highlight w:val="none"/>
          <w:lang w:val="en-US" w:eastAsia="zh-CN"/>
        </w:rPr>
        <w:t>林先生</w:t>
      </w:r>
      <w:r>
        <w:rPr>
          <w:rFonts w:hint="eastAsia" w:ascii="宋体" w:hAnsi="宋体" w:cs="宋体"/>
          <w:bCs/>
          <w:color w:val="auto"/>
          <w:kern w:val="0"/>
          <w:sz w:val="22"/>
          <w:szCs w:val="22"/>
          <w:highlight w:val="none"/>
        </w:rPr>
        <w:t>，联系电话：</w:t>
      </w:r>
      <w:r>
        <w:rPr>
          <w:rFonts w:hint="eastAsia" w:ascii="宋体" w:hAnsi="宋体" w:cs="宋体"/>
          <w:bCs/>
          <w:color w:val="auto"/>
          <w:kern w:val="0"/>
          <w:sz w:val="22"/>
          <w:szCs w:val="22"/>
          <w:highlight w:val="none"/>
          <w:lang w:val="en-US" w:eastAsia="zh-CN"/>
        </w:rPr>
        <w:t>13868808710</w:t>
      </w:r>
      <w:r>
        <w:rPr>
          <w:rFonts w:hint="eastAsia" w:ascii="宋体" w:hAnsi="宋体" w:cs="宋体"/>
          <w:bCs/>
          <w:color w:val="auto"/>
          <w:kern w:val="0"/>
          <w:sz w:val="22"/>
          <w:szCs w:val="22"/>
          <w:highlight w:val="none"/>
        </w:rPr>
        <w:t>。</w:t>
      </w:r>
    </w:p>
    <w:p w14:paraId="1FE30E2B">
      <w:pPr>
        <w:widowControl/>
        <w:spacing w:before="60" w:after="60" w:line="380" w:lineRule="exact"/>
        <w:ind w:left="60" w:right="6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八</w:t>
      </w:r>
      <w:r>
        <w:rPr>
          <w:rFonts w:hint="eastAsia" w:ascii="宋体" w:hAnsi="宋体" w:cs="宋体"/>
          <w:b/>
          <w:bCs/>
          <w:color w:val="auto"/>
          <w:kern w:val="0"/>
          <w:sz w:val="22"/>
          <w:szCs w:val="22"/>
          <w:highlight w:val="none"/>
        </w:rPr>
        <w:t>、联系方式</w:t>
      </w:r>
    </w:p>
    <w:p w14:paraId="09724384">
      <w:pPr>
        <w:widowControl/>
        <w:spacing w:before="60" w:after="60" w:line="38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采购人名称：温州交运集团汽车服务有限公司</w:t>
      </w:r>
    </w:p>
    <w:p w14:paraId="7FC5827B">
      <w:pPr>
        <w:tabs>
          <w:tab w:val="left" w:pos="3690"/>
        </w:tabs>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电话：</w:t>
      </w:r>
      <w:r>
        <w:rPr>
          <w:rFonts w:hint="eastAsia" w:ascii="宋体" w:hAnsi="宋体" w:cs="宋体"/>
          <w:bCs/>
          <w:color w:val="auto"/>
          <w:kern w:val="0"/>
          <w:sz w:val="22"/>
          <w:szCs w:val="22"/>
          <w:highlight w:val="none"/>
        </w:rPr>
        <w:t>13634295006</w:t>
      </w:r>
    </w:p>
    <w:p w14:paraId="13A7BF8A">
      <w:pPr>
        <w:widowControl/>
        <w:spacing w:before="60" w:after="60" w:line="380" w:lineRule="exact"/>
        <w:ind w:right="60"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陈经理</w:t>
      </w:r>
    </w:p>
    <w:p w14:paraId="79F18350">
      <w:pPr>
        <w:widowControl/>
        <w:spacing w:before="60" w:after="60" w:line="380" w:lineRule="exact"/>
        <w:ind w:right="60" w:firstLine="440" w:firstLineChars="200"/>
        <w:jc w:val="left"/>
        <w:rPr>
          <w:rFonts w:hint="eastAsia" w:ascii="宋体" w:hAnsi="宋体" w:eastAsia="宋体" w:cs="宋体"/>
          <w:bCs/>
          <w:color w:val="auto"/>
          <w:kern w:val="0"/>
          <w:sz w:val="22"/>
          <w:szCs w:val="22"/>
          <w:highlight w:val="none"/>
          <w:lang w:eastAsia="zh-CN"/>
        </w:rPr>
      </w:pPr>
      <w:r>
        <w:rPr>
          <w:rFonts w:hint="eastAsia" w:ascii="宋体" w:hAnsi="宋体" w:cs="宋体"/>
          <w:bCs/>
          <w:color w:val="auto"/>
          <w:kern w:val="0"/>
          <w:sz w:val="22"/>
          <w:szCs w:val="22"/>
          <w:highlight w:val="none"/>
        </w:rPr>
        <w:t>采购代理机构：</w:t>
      </w:r>
      <w:r>
        <w:rPr>
          <w:rFonts w:hint="eastAsia" w:ascii="宋体" w:hAnsi="宋体" w:cs="宋体"/>
          <w:bCs/>
          <w:color w:val="auto"/>
          <w:kern w:val="0"/>
          <w:sz w:val="22"/>
          <w:szCs w:val="22"/>
          <w:highlight w:val="none"/>
          <w:lang w:eastAsia="zh-CN"/>
        </w:rPr>
        <w:t>浙江恒杰工程管理有限公司</w:t>
      </w:r>
    </w:p>
    <w:p w14:paraId="01DED88A">
      <w:pPr>
        <w:widowControl/>
        <w:spacing w:before="60" w:after="60" w:line="380" w:lineRule="exact"/>
        <w:ind w:right="60" w:firstLine="440" w:firstLineChars="200"/>
        <w:jc w:val="left"/>
        <w:rPr>
          <w:rFonts w:hint="eastAsia" w:ascii="宋体" w:hAnsi="宋体" w:eastAsia="宋体" w:cs="宋体"/>
          <w:bCs/>
          <w:color w:val="auto"/>
          <w:kern w:val="0"/>
          <w:sz w:val="22"/>
          <w:szCs w:val="22"/>
          <w:highlight w:val="none"/>
          <w:lang w:eastAsia="zh-CN"/>
        </w:rPr>
      </w:pPr>
      <w:r>
        <w:rPr>
          <w:rFonts w:hint="eastAsia" w:ascii="宋体" w:hAnsi="宋体" w:cs="宋体"/>
          <w:bCs/>
          <w:color w:val="auto"/>
          <w:kern w:val="0"/>
          <w:sz w:val="22"/>
          <w:szCs w:val="22"/>
          <w:highlight w:val="none"/>
        </w:rPr>
        <w:t>地址：</w:t>
      </w:r>
      <w:r>
        <w:rPr>
          <w:rFonts w:hint="eastAsia" w:ascii="宋体" w:hAnsi="宋体" w:cs="宋体"/>
          <w:bCs/>
          <w:color w:val="auto"/>
          <w:kern w:val="0"/>
          <w:sz w:val="22"/>
          <w:szCs w:val="22"/>
          <w:highlight w:val="none"/>
          <w:lang w:eastAsia="zh-CN"/>
        </w:rPr>
        <w:t>温州市鹿城区黎明西路236号国际贸易中心29楼(恒杰代理部)</w:t>
      </w:r>
    </w:p>
    <w:p w14:paraId="2910B8C4">
      <w:pPr>
        <w:widowControl/>
        <w:spacing w:before="60" w:after="60" w:line="380" w:lineRule="exact"/>
        <w:ind w:right="60" w:firstLine="440" w:firstLineChars="200"/>
        <w:jc w:val="left"/>
        <w:rPr>
          <w:rFonts w:hint="eastAsia" w:ascii="宋体" w:hAnsi="宋体" w:eastAsia="宋体" w:cs="宋体"/>
          <w:bCs/>
          <w:color w:val="auto"/>
          <w:kern w:val="0"/>
          <w:sz w:val="22"/>
          <w:szCs w:val="22"/>
          <w:highlight w:val="none"/>
          <w:lang w:eastAsia="zh-CN"/>
        </w:rPr>
      </w:pPr>
      <w:r>
        <w:rPr>
          <w:rFonts w:hint="eastAsia" w:ascii="宋体" w:hAnsi="宋体" w:cs="宋体"/>
          <w:bCs/>
          <w:color w:val="auto"/>
          <w:kern w:val="0"/>
          <w:sz w:val="22"/>
          <w:szCs w:val="22"/>
          <w:highlight w:val="none"/>
        </w:rPr>
        <w:t>联系人：</w:t>
      </w:r>
      <w:r>
        <w:rPr>
          <w:rFonts w:hint="eastAsia" w:ascii="宋体" w:hAnsi="宋体" w:cs="宋体"/>
          <w:bCs/>
          <w:color w:val="auto"/>
          <w:kern w:val="0"/>
          <w:sz w:val="22"/>
          <w:szCs w:val="22"/>
          <w:highlight w:val="none"/>
          <w:lang w:val="en-US" w:eastAsia="zh-CN"/>
        </w:rPr>
        <w:t>林磊</w:t>
      </w:r>
    </w:p>
    <w:p w14:paraId="49F2328F">
      <w:pPr>
        <w:widowControl/>
        <w:spacing w:before="60" w:after="60" w:line="380" w:lineRule="exact"/>
        <w:ind w:right="60" w:firstLine="440" w:firstLineChars="200"/>
        <w:jc w:val="left"/>
        <w:rPr>
          <w:rFonts w:hint="eastAsia" w:ascii="宋体" w:hAnsi="宋体" w:eastAsia="宋体" w:cs="宋体"/>
          <w:bCs/>
          <w:color w:val="auto"/>
          <w:kern w:val="0"/>
          <w:sz w:val="22"/>
          <w:szCs w:val="22"/>
          <w:highlight w:val="none"/>
          <w:lang w:eastAsia="zh-CN"/>
        </w:rPr>
      </w:pPr>
      <w:r>
        <w:rPr>
          <w:rFonts w:hint="eastAsia" w:ascii="宋体" w:hAnsi="宋体" w:cs="宋体"/>
          <w:bCs/>
          <w:color w:val="auto"/>
          <w:kern w:val="0"/>
          <w:sz w:val="22"/>
          <w:szCs w:val="22"/>
          <w:highlight w:val="none"/>
        </w:rPr>
        <w:t>电话：</w:t>
      </w:r>
      <w:r>
        <w:rPr>
          <w:rFonts w:hint="eastAsia" w:ascii="宋体" w:hAnsi="宋体" w:cs="宋体"/>
          <w:bCs/>
          <w:color w:val="auto"/>
          <w:kern w:val="0"/>
          <w:sz w:val="22"/>
          <w:szCs w:val="22"/>
          <w:highlight w:val="none"/>
          <w:lang w:eastAsia="zh-CN"/>
        </w:rPr>
        <w:t>13868808710</w:t>
      </w:r>
      <w:r>
        <w:rPr>
          <w:rFonts w:hint="eastAsia" w:ascii="宋体" w:hAnsi="宋体" w:cs="宋体"/>
          <w:bCs/>
          <w:color w:val="auto"/>
          <w:kern w:val="0"/>
          <w:sz w:val="22"/>
          <w:szCs w:val="22"/>
          <w:highlight w:val="none"/>
        </w:rPr>
        <w:t>、0577-</w:t>
      </w:r>
      <w:r>
        <w:rPr>
          <w:rFonts w:hint="eastAsia" w:ascii="宋体" w:hAnsi="宋体" w:cs="宋体"/>
          <w:bCs/>
          <w:color w:val="auto"/>
          <w:kern w:val="0"/>
          <w:sz w:val="22"/>
          <w:szCs w:val="22"/>
          <w:highlight w:val="none"/>
          <w:lang w:eastAsia="zh-CN"/>
        </w:rPr>
        <w:t>88858722</w:t>
      </w:r>
    </w:p>
    <w:p w14:paraId="4F2E0C27">
      <w:pPr>
        <w:widowControl/>
        <w:spacing w:before="60" w:after="60" w:line="38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采购监督管理部门：温州交运集团汽车服务有限公司党群工作部</w:t>
      </w:r>
    </w:p>
    <w:p w14:paraId="775E4429">
      <w:pPr>
        <w:widowControl/>
        <w:spacing w:before="60" w:after="60" w:line="38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监管部门电话：0577-88101032</w:t>
      </w:r>
    </w:p>
    <w:p w14:paraId="64B793BD">
      <w:pPr>
        <w:widowControl/>
        <w:jc w:val="left"/>
        <w:rPr>
          <w:rFonts w:hint="eastAsia" w:ascii="宋体" w:hAnsi="宋体" w:cs="宋体"/>
          <w:color w:val="auto"/>
          <w:kern w:val="0"/>
          <w:sz w:val="20"/>
          <w:szCs w:val="20"/>
          <w:highlight w:val="none"/>
        </w:rPr>
      </w:pPr>
    </w:p>
    <w:p w14:paraId="63DCB0C6">
      <w:pPr>
        <w:spacing w:line="360" w:lineRule="auto"/>
        <w:ind w:firstLine="5528" w:firstLineChars="2513"/>
        <w:jc w:val="right"/>
        <w:rPr>
          <w:rFonts w:hint="eastAsia" w:ascii="宋体" w:hAnsi="宋体" w:cs="宋体"/>
          <w:color w:val="auto"/>
          <w:sz w:val="22"/>
          <w:szCs w:val="22"/>
          <w:highlight w:val="none"/>
        </w:rPr>
      </w:pPr>
    </w:p>
    <w:p w14:paraId="3D5B8830">
      <w:pPr>
        <w:spacing w:line="360" w:lineRule="auto"/>
        <w:ind w:firstLine="5528" w:firstLineChars="2513"/>
        <w:jc w:val="right"/>
        <w:rPr>
          <w:rFonts w:hint="eastAsia" w:ascii="宋体" w:hAnsi="宋体" w:cs="宋体"/>
          <w:color w:val="auto"/>
          <w:sz w:val="22"/>
          <w:szCs w:val="22"/>
          <w:highlight w:val="none"/>
        </w:rPr>
      </w:pPr>
    </w:p>
    <w:p w14:paraId="5F292317">
      <w:pPr>
        <w:spacing w:line="360" w:lineRule="auto"/>
        <w:ind w:firstLine="5528" w:firstLineChars="2513"/>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温州交运集团汽车服务有限公司</w:t>
      </w:r>
    </w:p>
    <w:p w14:paraId="1716906C">
      <w:pPr>
        <w:spacing w:line="360" w:lineRule="auto"/>
        <w:ind w:firstLine="5528" w:firstLineChars="2513"/>
        <w:jc w:val="righ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浙江恒杰工程管理有限公司</w:t>
      </w:r>
    </w:p>
    <w:p w14:paraId="612BCEBF">
      <w:pPr>
        <w:spacing w:line="360" w:lineRule="auto"/>
        <w:ind w:firstLine="6718" w:firstLineChars="3054"/>
        <w:jc w:val="right"/>
        <w:rPr>
          <w:rFonts w:hint="eastAsia" w:ascii="宋体" w:hAnsi="宋体" w:cs="宋体"/>
          <w:color w:val="auto"/>
          <w:highlight w:val="none"/>
        </w:rPr>
      </w:pPr>
      <w:r>
        <w:rPr>
          <w:rFonts w:hint="eastAsia" w:ascii="宋体" w:hAnsi="宋体" w:cs="宋体"/>
          <w:color w:val="auto"/>
          <w:sz w:val="22"/>
          <w:szCs w:val="22"/>
          <w:highlight w:val="none"/>
        </w:rPr>
        <w:t>2025年</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日</w:t>
      </w:r>
    </w:p>
    <w:p w14:paraId="5241C677">
      <w:pPr>
        <w:widowControl/>
        <w:spacing w:before="60" w:after="60" w:line="380" w:lineRule="exact"/>
        <w:ind w:left="61" w:leftChars="29" w:right="60"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7A2F2342">
      <w:pPr>
        <w:jc w:val="center"/>
        <w:rPr>
          <w:rFonts w:hint="eastAsia" w:ascii="宋体" w:hAnsi="宋体" w:cs="宋体"/>
          <w:b/>
          <w:bCs/>
          <w:color w:val="auto"/>
          <w:sz w:val="22"/>
          <w:szCs w:val="22"/>
          <w:highlight w:val="none"/>
        </w:rPr>
      </w:pPr>
    </w:p>
    <w:p w14:paraId="58291FA8">
      <w:pP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温州市交运集团所属温州交运集团汽车服务有限公司关于</w:t>
      </w:r>
      <w:r>
        <w:rPr>
          <w:rFonts w:hint="eastAsia" w:ascii="宋体" w:hAnsi="宋体" w:cs="宋体"/>
          <w:b/>
          <w:color w:val="auto"/>
          <w:kern w:val="0"/>
          <w:sz w:val="24"/>
          <w:highlight w:val="none"/>
          <w:lang w:eastAsia="zh-CN"/>
        </w:rPr>
        <w:t>蓝牌登高车（重2）</w:t>
      </w:r>
      <w:r>
        <w:rPr>
          <w:rFonts w:hint="eastAsia" w:ascii="宋体" w:hAnsi="宋体" w:cs="宋体"/>
          <w:b/>
          <w:color w:val="auto"/>
          <w:kern w:val="0"/>
          <w:sz w:val="24"/>
          <w:highlight w:val="none"/>
        </w:rPr>
        <w:t>（自主）的</w:t>
      </w:r>
    </w:p>
    <w:p w14:paraId="2A044495">
      <w:pP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征求意见公示</w:t>
      </w:r>
    </w:p>
    <w:p w14:paraId="23D3AD2C">
      <w:pPr>
        <w:pStyle w:val="17"/>
        <w:ind w:firstLine="210"/>
        <w:rPr>
          <w:rFonts w:hint="eastAsia" w:ascii="宋体" w:hAnsi="宋体" w:cs="宋体"/>
          <w:color w:val="auto"/>
          <w:highlight w:val="none"/>
        </w:rPr>
      </w:pPr>
    </w:p>
    <w:p w14:paraId="2A76F3FB">
      <w:pPr>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浙江恒杰工程管理有限公司</w:t>
      </w:r>
      <w:r>
        <w:rPr>
          <w:rFonts w:hint="eastAsia" w:ascii="宋体" w:hAnsi="宋体" w:cs="宋体"/>
          <w:color w:val="auto"/>
          <w:sz w:val="22"/>
          <w:szCs w:val="22"/>
          <w:highlight w:val="none"/>
        </w:rPr>
        <w:t>将于近期就温州交运集团汽车服务有限公司所需</w:t>
      </w:r>
      <w:r>
        <w:rPr>
          <w:rFonts w:hint="eastAsia" w:ascii="宋体" w:hAnsi="宋体" w:cs="宋体"/>
          <w:color w:val="auto"/>
          <w:sz w:val="22"/>
          <w:szCs w:val="22"/>
          <w:highlight w:val="none"/>
          <w:lang w:eastAsia="zh-CN"/>
        </w:rPr>
        <w:t>蓝牌登高车（重2）</w:t>
      </w:r>
      <w:r>
        <w:rPr>
          <w:rFonts w:hint="eastAsia" w:ascii="宋体" w:hAnsi="宋体" w:cs="宋体"/>
          <w:color w:val="auto"/>
          <w:sz w:val="22"/>
          <w:szCs w:val="22"/>
          <w:highlight w:val="none"/>
        </w:rPr>
        <w:t xml:space="preserve">进行公开招标。现将采购文件公布如下，并公开征求投标人及专家意见。 </w:t>
      </w:r>
    </w:p>
    <w:p w14:paraId="36DEB21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一、征求意见范围：</w:t>
      </w:r>
    </w:p>
    <w:p w14:paraId="65757BD2">
      <w:pPr>
        <w:spacing w:line="360" w:lineRule="auto"/>
        <w:ind w:left="645"/>
        <w:rPr>
          <w:rFonts w:hint="eastAsia" w:ascii="宋体" w:hAnsi="宋体" w:cs="宋体"/>
          <w:color w:val="auto"/>
          <w:sz w:val="22"/>
          <w:szCs w:val="22"/>
          <w:highlight w:val="none"/>
        </w:rPr>
      </w:pPr>
      <w:r>
        <w:rPr>
          <w:rFonts w:hint="eastAsia" w:ascii="宋体" w:hAnsi="宋体" w:cs="宋体"/>
          <w:color w:val="auto"/>
          <w:sz w:val="22"/>
          <w:szCs w:val="22"/>
          <w:highlight w:val="none"/>
        </w:rPr>
        <w:t>1、是否出现明显的倾向性意见和特定的性能指标；</w:t>
      </w:r>
    </w:p>
    <w:p w14:paraId="277A857B">
      <w:pPr>
        <w:spacing w:line="360" w:lineRule="auto"/>
        <w:ind w:left="645"/>
        <w:rPr>
          <w:rFonts w:hint="eastAsia" w:ascii="宋体" w:hAnsi="宋体" w:cs="宋体"/>
          <w:color w:val="auto"/>
          <w:sz w:val="22"/>
          <w:szCs w:val="22"/>
          <w:highlight w:val="none"/>
        </w:rPr>
      </w:pPr>
      <w:r>
        <w:rPr>
          <w:rFonts w:hint="eastAsia" w:ascii="宋体" w:hAnsi="宋体" w:cs="宋体"/>
          <w:color w:val="auto"/>
          <w:sz w:val="22"/>
          <w:szCs w:val="22"/>
          <w:highlight w:val="none"/>
        </w:rPr>
        <w:t>2、投标人资格条件是否具有明显倾向性和歧视性；</w:t>
      </w:r>
    </w:p>
    <w:p w14:paraId="45FE821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3、影响国企采购“公开、公平、公正”原则的其他情况。</w:t>
      </w:r>
    </w:p>
    <w:p w14:paraId="47AAF5E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二、征求意见的回复：</w:t>
      </w:r>
    </w:p>
    <w:p w14:paraId="1DEBFFB9">
      <w:pPr>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各投标人及专家提出修改理由和建议的，请于2025年</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日下午17 :00前（节假日除外）将书面材料签字（盖章）并密封后送至</w:t>
      </w:r>
      <w:r>
        <w:rPr>
          <w:rFonts w:hint="eastAsia" w:ascii="宋体" w:hAnsi="宋体" w:cs="宋体"/>
          <w:color w:val="auto"/>
          <w:sz w:val="22"/>
          <w:szCs w:val="22"/>
          <w:highlight w:val="none"/>
          <w:lang w:eastAsia="zh-CN"/>
        </w:rPr>
        <w:t>温州市鹿城区黎明西路236号国际贸易中心29楼(恒杰代理部)</w:t>
      </w:r>
      <w:r>
        <w:rPr>
          <w:rFonts w:hint="eastAsia" w:ascii="宋体" w:hAnsi="宋体" w:cs="宋体"/>
          <w:color w:val="auto"/>
          <w:sz w:val="22"/>
          <w:szCs w:val="22"/>
          <w:highlight w:val="none"/>
        </w:rPr>
        <w:t>，外地可传真送达，传真：0577-</w:t>
      </w:r>
      <w:r>
        <w:rPr>
          <w:rFonts w:hint="eastAsia" w:ascii="宋体" w:hAnsi="宋体" w:cs="宋体"/>
          <w:color w:val="auto"/>
          <w:sz w:val="22"/>
          <w:szCs w:val="22"/>
          <w:highlight w:val="none"/>
          <w:lang w:val="en-US" w:eastAsia="zh-CN"/>
        </w:rPr>
        <w:t>88118617</w:t>
      </w:r>
      <w:r>
        <w:rPr>
          <w:rFonts w:hint="eastAsia" w:ascii="宋体" w:hAnsi="宋体" w:cs="宋体"/>
          <w:color w:val="auto"/>
          <w:sz w:val="22"/>
          <w:szCs w:val="22"/>
          <w:highlight w:val="none"/>
        </w:rPr>
        <w:t xml:space="preserve"> ，传真件必须签字（盖章）。同时将电子文档发送至以下信箱：</w:t>
      </w:r>
      <w:r>
        <w:rPr>
          <w:rFonts w:hint="eastAsia" w:ascii="宋体" w:hAnsi="宋体" w:cs="宋体"/>
          <w:color w:val="auto"/>
          <w:sz w:val="22"/>
          <w:szCs w:val="22"/>
          <w:highlight w:val="none"/>
          <w:lang w:eastAsia="zh-CN"/>
        </w:rPr>
        <w:t>2716504778@qq.com</w:t>
      </w:r>
      <w:r>
        <w:rPr>
          <w:rFonts w:hint="eastAsia" w:ascii="宋体" w:hAnsi="宋体" w:cs="宋体"/>
          <w:color w:val="auto"/>
          <w:sz w:val="22"/>
          <w:szCs w:val="22"/>
          <w:highlight w:val="none"/>
        </w:rPr>
        <w:t>。</w:t>
      </w:r>
    </w:p>
    <w:p w14:paraId="4B5A7F4E">
      <w:pPr>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林</w:t>
      </w:r>
      <w:r>
        <w:rPr>
          <w:rFonts w:hint="eastAsia" w:ascii="宋体" w:hAnsi="宋体" w:cs="宋体"/>
          <w:color w:val="auto"/>
          <w:sz w:val="22"/>
          <w:szCs w:val="22"/>
          <w:highlight w:val="none"/>
        </w:rPr>
        <w:t>先生  电话：0577-</w:t>
      </w:r>
      <w:r>
        <w:rPr>
          <w:rFonts w:hint="eastAsia" w:ascii="宋体" w:hAnsi="宋体" w:cs="宋体"/>
          <w:color w:val="auto"/>
          <w:sz w:val="22"/>
          <w:szCs w:val="22"/>
          <w:highlight w:val="none"/>
          <w:lang w:eastAsia="zh-CN"/>
        </w:rPr>
        <w:t>88858722</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13868808710</w:t>
      </w:r>
      <w:r>
        <w:rPr>
          <w:rFonts w:hint="eastAsia" w:ascii="宋体" w:hAnsi="宋体" w:cs="宋体"/>
          <w:color w:val="auto"/>
          <w:sz w:val="22"/>
          <w:szCs w:val="22"/>
          <w:highlight w:val="none"/>
        </w:rPr>
        <w:t>。对逾期送达的意见、建议书恕不接受。</w:t>
      </w:r>
    </w:p>
    <w:p w14:paraId="0A8A48DB">
      <w:pPr>
        <w:spacing w:line="360" w:lineRule="auto"/>
        <w:ind w:firstLine="440" w:firstLineChars="200"/>
        <w:jc w:val="right"/>
        <w:rPr>
          <w:rFonts w:hint="eastAsia" w:ascii="宋体" w:hAnsi="宋体" w:cs="宋体"/>
          <w:color w:val="auto"/>
          <w:sz w:val="22"/>
          <w:szCs w:val="22"/>
          <w:highlight w:val="none"/>
        </w:rPr>
      </w:pPr>
    </w:p>
    <w:p w14:paraId="737C7358">
      <w:pPr>
        <w:spacing w:line="360" w:lineRule="auto"/>
        <w:ind w:firstLine="5528" w:firstLineChars="2513"/>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温州交运集团汽车服务有限公司</w:t>
      </w:r>
    </w:p>
    <w:p w14:paraId="39CA974B">
      <w:pPr>
        <w:spacing w:line="360" w:lineRule="auto"/>
        <w:ind w:firstLine="5528" w:firstLineChars="251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浙江恒杰工程管理有限公司</w:t>
      </w:r>
    </w:p>
    <w:p w14:paraId="38257FE7">
      <w:pPr>
        <w:spacing w:line="360" w:lineRule="auto"/>
        <w:ind w:firstLine="5528" w:firstLineChars="2513"/>
        <w:jc w:val="center"/>
        <w:rPr>
          <w:rFonts w:hint="eastAsia" w:ascii="宋体" w:hAnsi="宋体" w:cs="宋体"/>
          <w:b/>
          <w:bCs/>
          <w:color w:val="auto"/>
          <w:kern w:val="0"/>
          <w:sz w:val="28"/>
          <w:szCs w:val="28"/>
          <w:highlight w:val="none"/>
        </w:rPr>
      </w:pPr>
      <w:r>
        <w:rPr>
          <w:rFonts w:hint="eastAsia" w:ascii="宋体" w:hAnsi="宋体" w:cs="宋体"/>
          <w:color w:val="auto"/>
          <w:sz w:val="22"/>
          <w:szCs w:val="22"/>
          <w:highlight w:val="none"/>
        </w:rPr>
        <w:t>2025年</w:t>
      </w:r>
      <w:r>
        <w:rPr>
          <w:rFonts w:hint="eastAsia" w:ascii="宋体" w:hAnsi="宋体" w:cs="宋体"/>
          <w:color w:val="auto"/>
          <w:sz w:val="22"/>
          <w:szCs w:val="22"/>
          <w:highlight w:val="none"/>
          <w:lang w:val="en-US" w:eastAsia="zh-CN"/>
        </w:rPr>
        <w:t xml:space="preserve"> 12</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日</w:t>
      </w:r>
    </w:p>
    <w:p w14:paraId="4606A6AA">
      <w:pPr>
        <w:spacing w:line="380" w:lineRule="exact"/>
        <w:ind w:right="720"/>
        <w:rPr>
          <w:rFonts w:hint="eastAsia" w:ascii="宋体" w:hAnsi="宋体" w:cs="宋体"/>
          <w:color w:val="auto"/>
          <w:sz w:val="22"/>
          <w:szCs w:val="22"/>
          <w:highlight w:val="none"/>
        </w:rPr>
      </w:pPr>
    </w:p>
    <w:p w14:paraId="5BEC960B">
      <w:pPr>
        <w:widowControl/>
        <w:jc w:val="left"/>
        <w:rPr>
          <w:rFonts w:hint="eastAsia" w:ascii="宋体" w:hAnsi="宋体" w:cs="宋体"/>
          <w:color w:val="auto"/>
          <w:highlight w:val="none"/>
        </w:rPr>
      </w:pPr>
    </w:p>
    <w:p w14:paraId="3A4ED0D4">
      <w:pPr>
        <w:widowControl/>
        <w:jc w:val="left"/>
        <w:rPr>
          <w:rFonts w:hint="eastAsia" w:ascii="宋体" w:hAnsi="宋体" w:cs="宋体"/>
          <w:color w:val="auto"/>
          <w:sz w:val="22"/>
          <w:szCs w:val="22"/>
          <w:highlight w:val="none"/>
        </w:rPr>
      </w:pPr>
      <w:r>
        <w:rPr>
          <w:rFonts w:hint="eastAsia" w:ascii="宋体" w:hAnsi="宋体" w:cs="宋体"/>
          <w:color w:val="auto"/>
          <w:highlight w:val="none"/>
        </w:rPr>
        <w:br w:type="page"/>
      </w:r>
    </w:p>
    <w:p w14:paraId="7A11D7D7">
      <w:pPr>
        <w:pStyle w:val="4"/>
        <w:rPr>
          <w:rFonts w:hint="eastAsia" w:ascii="宋体" w:hAnsi="宋体" w:eastAsia="宋体" w:cs="宋体"/>
          <w:color w:val="auto"/>
          <w:sz w:val="36"/>
          <w:szCs w:val="36"/>
          <w:highlight w:val="none"/>
        </w:rPr>
      </w:pPr>
      <w:bookmarkStart w:id="4" w:name="_Toc241404198"/>
      <w:bookmarkStart w:id="5" w:name="_Toc262049414"/>
      <w:bookmarkStart w:id="6" w:name="_Toc221423615"/>
      <w:bookmarkStart w:id="7" w:name="_Toc245722277"/>
      <w:bookmarkStart w:id="8" w:name="_Toc245191310"/>
      <w:bookmarkStart w:id="9" w:name="_Toc239145350"/>
      <w:bookmarkStart w:id="10" w:name="_Toc223715994"/>
      <w:bookmarkStart w:id="11" w:name="_Toc222114875"/>
      <w:bookmarkStart w:id="12" w:name="_Toc249758860"/>
      <w:bookmarkStart w:id="13" w:name="_Toc262105499"/>
      <w:bookmarkStart w:id="14" w:name="_Toc246261261"/>
      <w:bookmarkStart w:id="15" w:name="_Toc221356947"/>
      <w:bookmarkStart w:id="16" w:name="_Toc221374622"/>
      <w:bookmarkStart w:id="17" w:name="_Toc221356882"/>
      <w:bookmarkStart w:id="18" w:name="_Toc249758708"/>
      <w:bookmarkStart w:id="19" w:name="_Toc32285"/>
      <w:r>
        <w:rPr>
          <w:rFonts w:hint="eastAsia" w:ascii="宋体" w:hAnsi="宋体" w:eastAsia="宋体" w:cs="宋体"/>
          <w:color w:val="auto"/>
          <w:sz w:val="36"/>
          <w:szCs w:val="36"/>
          <w:highlight w:val="none"/>
        </w:rPr>
        <w:t>第一部分    投标人须知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86FABA">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20" w:name="_Toc27051"/>
      <w:bookmarkStart w:id="21" w:name="_Toc4442"/>
      <w:bookmarkStart w:id="22" w:name="_Toc246261262"/>
      <w:bookmarkStart w:id="23" w:name="_Toc221374623"/>
      <w:bookmarkStart w:id="24" w:name="_Toc221356883"/>
      <w:bookmarkStart w:id="25" w:name="_Toc239145351"/>
      <w:bookmarkStart w:id="26" w:name="_Toc249758709"/>
      <w:bookmarkStart w:id="27" w:name="_Toc262105500"/>
      <w:bookmarkStart w:id="28" w:name="_Toc262049415"/>
      <w:bookmarkStart w:id="29" w:name="_Toc245722278"/>
      <w:bookmarkStart w:id="30" w:name="_Toc249758861"/>
      <w:bookmarkStart w:id="31" w:name="_Toc245191311"/>
      <w:bookmarkStart w:id="32" w:name="_Toc223715995"/>
      <w:bookmarkStart w:id="33" w:name="_Toc241404199"/>
      <w:bookmarkStart w:id="34" w:name="_Toc221423616"/>
      <w:bookmarkStart w:id="35" w:name="_Toc221356948"/>
      <w:bookmarkStart w:id="36" w:name="_Toc222114876"/>
      <w:r>
        <w:rPr>
          <w:rFonts w:hint="eastAsia" w:ascii="宋体" w:hAnsi="宋体" w:cs="宋体"/>
          <w:b/>
          <w:bCs/>
          <w:color w:val="auto"/>
          <w:sz w:val="26"/>
          <w:szCs w:val="26"/>
          <w:highlight w:val="none"/>
        </w:rPr>
        <w:t>投标人须知前附表</w:t>
      </w:r>
      <w:bookmarkEnd w:id="20"/>
      <w:bookmarkEnd w:id="21"/>
      <w:r>
        <w:rPr>
          <w:rFonts w:hint="eastAsia" w:ascii="宋体" w:hAnsi="宋体" w:cs="宋体"/>
          <w:b/>
          <w:bCs/>
          <w:color w:val="auto"/>
          <w:sz w:val="26"/>
          <w:szCs w:val="26"/>
          <w:highlight w:val="none"/>
        </w:rPr>
        <w:t xml:space="preserve">  </w:t>
      </w:r>
    </w:p>
    <w:tbl>
      <w:tblPr>
        <w:tblStyle w:val="34"/>
        <w:tblW w:w="4981" w:type="pct"/>
        <w:tblInd w:w="0" w:type="dxa"/>
        <w:tblLayout w:type="autofit"/>
        <w:tblCellMar>
          <w:top w:w="0" w:type="dxa"/>
          <w:left w:w="108" w:type="dxa"/>
          <w:bottom w:w="0" w:type="dxa"/>
          <w:right w:w="108" w:type="dxa"/>
        </w:tblCellMar>
      </w:tblPr>
      <w:tblGrid>
        <w:gridCol w:w="728"/>
        <w:gridCol w:w="1501"/>
        <w:gridCol w:w="7588"/>
      </w:tblGrid>
      <w:tr w14:paraId="5823D2BB">
        <w:tblPrEx>
          <w:tblCellMar>
            <w:top w:w="0" w:type="dxa"/>
            <w:left w:w="108" w:type="dxa"/>
            <w:bottom w:w="0" w:type="dxa"/>
            <w:right w:w="108" w:type="dxa"/>
          </w:tblCellMar>
        </w:tblPrEx>
        <w:trPr>
          <w:trHeight w:val="57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331440">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序号</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7DE2676">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条款名称</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9C5F39">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编列内容</w:t>
            </w:r>
          </w:p>
        </w:tc>
      </w:tr>
      <w:tr w14:paraId="0DCBC5B5">
        <w:tblPrEx>
          <w:tblCellMar>
            <w:top w:w="0" w:type="dxa"/>
            <w:left w:w="108" w:type="dxa"/>
            <w:bottom w:w="0" w:type="dxa"/>
            <w:right w:w="108" w:type="dxa"/>
          </w:tblCellMar>
        </w:tblPrEx>
        <w:trPr>
          <w:trHeight w:val="122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35FF3A">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E93A38">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采购人</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2FEC27C">
            <w:pPr>
              <w:tabs>
                <w:tab w:val="left" w:pos="3690"/>
              </w:tabs>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采购人：温州交运集团汽车服务有限公司</w:t>
            </w:r>
          </w:p>
          <w:p w14:paraId="65DD594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电话：13634295006</w:t>
            </w:r>
          </w:p>
          <w:p w14:paraId="1C892B29">
            <w:pPr>
              <w:spacing w:line="40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陈经理</w:t>
            </w:r>
          </w:p>
        </w:tc>
      </w:tr>
      <w:tr w14:paraId="6F035D2B">
        <w:tblPrEx>
          <w:tblCellMar>
            <w:top w:w="0" w:type="dxa"/>
            <w:left w:w="108" w:type="dxa"/>
            <w:bottom w:w="0" w:type="dxa"/>
            <w:right w:w="108" w:type="dxa"/>
          </w:tblCellMar>
        </w:tblPrEx>
        <w:trPr>
          <w:trHeight w:val="1637"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72AC86">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375CBA">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采购代理机构</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D07F40D">
            <w:pPr>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采购代理机构名称：</w:t>
            </w:r>
            <w:r>
              <w:rPr>
                <w:rFonts w:hint="eastAsia" w:ascii="宋体" w:hAnsi="宋体" w:cs="宋体"/>
                <w:color w:val="auto"/>
                <w:sz w:val="22"/>
                <w:szCs w:val="22"/>
                <w:highlight w:val="none"/>
                <w:lang w:eastAsia="zh-CN"/>
              </w:rPr>
              <w:t>浙江恒杰工程管理有限公司</w:t>
            </w:r>
          </w:p>
          <w:p w14:paraId="1427665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eastAsia="zh-CN"/>
              </w:rPr>
              <w:t>温州市鹿城区黎明西路236号国际贸易中心29楼(恒杰代理部)</w:t>
            </w:r>
            <w:r>
              <w:rPr>
                <w:rFonts w:hint="eastAsia" w:ascii="宋体" w:hAnsi="宋体" w:eastAsia="宋体" w:cs="宋体"/>
                <w:color w:val="auto"/>
                <w:sz w:val="22"/>
                <w:szCs w:val="22"/>
                <w:highlight w:val="none"/>
              </w:rPr>
              <w:t>。</w:t>
            </w:r>
          </w:p>
          <w:p w14:paraId="7AA700F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林磊</w:t>
            </w:r>
            <w:r>
              <w:rPr>
                <w:rFonts w:hint="eastAsia" w:ascii="宋体" w:hAnsi="宋体" w:eastAsia="宋体" w:cs="宋体"/>
                <w:color w:val="auto"/>
                <w:sz w:val="22"/>
                <w:szCs w:val="22"/>
                <w:highlight w:val="none"/>
              </w:rPr>
              <w:t xml:space="preserve">  </w:t>
            </w:r>
          </w:p>
          <w:p w14:paraId="4D2F4EC7">
            <w:pPr>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联系电话：0577-</w:t>
            </w:r>
            <w:r>
              <w:rPr>
                <w:rFonts w:hint="eastAsia" w:ascii="宋体" w:hAnsi="宋体" w:cs="宋体"/>
                <w:color w:val="auto"/>
                <w:sz w:val="22"/>
                <w:szCs w:val="22"/>
                <w:highlight w:val="none"/>
                <w:lang w:eastAsia="zh-CN"/>
              </w:rPr>
              <w:t>88858722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13868808710</w:t>
            </w:r>
          </w:p>
        </w:tc>
      </w:tr>
      <w:tr w14:paraId="0F633C6B">
        <w:tblPrEx>
          <w:tblCellMar>
            <w:top w:w="0" w:type="dxa"/>
            <w:left w:w="108" w:type="dxa"/>
            <w:bottom w:w="0" w:type="dxa"/>
            <w:right w:w="108" w:type="dxa"/>
          </w:tblCellMar>
        </w:tblPrEx>
        <w:trPr>
          <w:trHeight w:val="821"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4E0F4">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D860C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采购名称</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82A2A0">
            <w:pPr>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采购项目：</w:t>
            </w:r>
            <w:r>
              <w:rPr>
                <w:rFonts w:hint="eastAsia" w:ascii="宋体" w:hAnsi="宋体" w:cs="宋体"/>
                <w:color w:val="auto"/>
                <w:sz w:val="22"/>
                <w:szCs w:val="22"/>
                <w:highlight w:val="none"/>
                <w:lang w:eastAsia="zh-CN"/>
              </w:rPr>
              <w:t>蓝牌登高车（重2）</w:t>
            </w:r>
          </w:p>
          <w:p w14:paraId="7EA99026">
            <w:pPr>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采购编号：</w:t>
            </w:r>
            <w:r>
              <w:rPr>
                <w:rFonts w:hint="eastAsia" w:ascii="宋体" w:hAnsi="宋体" w:cs="宋体"/>
                <w:color w:val="auto"/>
                <w:sz w:val="22"/>
                <w:szCs w:val="22"/>
                <w:highlight w:val="none"/>
                <w:lang w:eastAsia="zh-CN"/>
              </w:rPr>
              <w:t>WGSS-JYJT-Z-2025037（重2）</w:t>
            </w:r>
          </w:p>
        </w:tc>
      </w:tr>
      <w:tr w14:paraId="6FE0FE51">
        <w:tblPrEx>
          <w:tblCellMar>
            <w:top w:w="0" w:type="dxa"/>
            <w:left w:w="108" w:type="dxa"/>
            <w:bottom w:w="0" w:type="dxa"/>
            <w:right w:w="108" w:type="dxa"/>
          </w:tblCellMar>
        </w:tblPrEx>
        <w:trPr>
          <w:trHeight w:val="764"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FF2A8A">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611C1D5">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采购内容</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453C1F">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具体内容及要求见采购文件。</w:t>
            </w:r>
          </w:p>
        </w:tc>
      </w:tr>
      <w:tr w14:paraId="73CFDCBD">
        <w:tblPrEx>
          <w:tblCellMar>
            <w:top w:w="0" w:type="dxa"/>
            <w:left w:w="108" w:type="dxa"/>
            <w:bottom w:w="0" w:type="dxa"/>
            <w:right w:w="108" w:type="dxa"/>
          </w:tblCellMar>
        </w:tblPrEx>
        <w:trPr>
          <w:trHeight w:val="2454"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CC21BAA">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5</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78D276">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lang w:val="zh-CN"/>
              </w:rPr>
              <w:t>▲</w:t>
            </w:r>
            <w:r>
              <w:rPr>
                <w:rFonts w:hint="eastAsia" w:ascii="宋体" w:hAnsi="宋体" w:eastAsia="宋体" w:cs="宋体"/>
                <w:b/>
                <w:bCs/>
                <w:color w:val="auto"/>
                <w:kern w:val="0"/>
                <w:sz w:val="22"/>
                <w:szCs w:val="22"/>
                <w:highlight w:val="none"/>
                <w:u w:val="single"/>
              </w:rPr>
              <w:t>投标人</w:t>
            </w:r>
            <w:r>
              <w:rPr>
                <w:rFonts w:hint="eastAsia" w:ascii="宋体" w:hAnsi="宋体" w:eastAsia="宋体" w:cs="宋体"/>
                <w:b/>
                <w:bCs/>
                <w:color w:val="auto"/>
                <w:kern w:val="0"/>
                <w:sz w:val="22"/>
                <w:szCs w:val="22"/>
                <w:highlight w:val="none"/>
                <w:u w:val="single"/>
                <w:lang w:val="zh-CN"/>
              </w:rPr>
              <w:t>资质格要求</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EE3387">
            <w:pPr>
              <w:numPr>
                <w:ilvl w:val="0"/>
                <w:numId w:val="5"/>
              </w:num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基本条件：</w:t>
            </w:r>
          </w:p>
          <w:p w14:paraId="6D935AFB">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（1）符合《温州市市属国有企业采购管理办法》</w:t>
            </w:r>
            <w:r>
              <w:rPr>
                <w:rFonts w:hint="eastAsia" w:ascii="宋体" w:hAnsi="宋体" w:eastAsia="宋体" w:cs="宋体"/>
                <w:color w:val="auto"/>
                <w:kern w:val="0"/>
                <w:sz w:val="22"/>
                <w:szCs w:val="22"/>
                <w:highlight w:val="none"/>
              </w:rPr>
              <w:t>第十八条对投标人参加温州市国有企业采购活动应当具备的条件的要求</w:t>
            </w:r>
            <w:r>
              <w:rPr>
                <w:rFonts w:hint="eastAsia" w:ascii="宋体" w:hAnsi="宋体" w:eastAsia="宋体" w:cs="宋体"/>
                <w:color w:val="auto"/>
                <w:kern w:val="0"/>
                <w:sz w:val="22"/>
                <w:szCs w:val="22"/>
                <w:highlight w:val="none"/>
                <w:lang w:val="zh-CN"/>
              </w:rPr>
              <w:t>；</w:t>
            </w:r>
          </w:p>
          <w:p w14:paraId="3BF4A5D2">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（2）单位负责人为同一人或者存在直接控股、管理关系的不同投标人，不得参加同一合同项下的采购活动；</w:t>
            </w:r>
          </w:p>
          <w:p w14:paraId="7BB73A2B">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（3）投标人未被“信用中国”（www.creditchina.gov.cn）、中国政府采购网（www.ccgp.gov.cn）列入失信被执行人、重大税收违法案件当事人名单、采购严重违法失信行为记录名单；</w:t>
            </w:r>
          </w:p>
          <w:p w14:paraId="7A4B3307">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（二）特定条件：</w:t>
            </w:r>
          </w:p>
          <w:p w14:paraId="661BF410">
            <w:pPr>
              <w:autoSpaceDE w:val="0"/>
              <w:autoSpaceDN w:val="0"/>
              <w:adjustRightInd w:val="0"/>
              <w:spacing w:line="400" w:lineRule="exact"/>
              <w:ind w:right="-34"/>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（1）本项目不接受联合体投标。</w:t>
            </w:r>
          </w:p>
        </w:tc>
      </w:tr>
      <w:tr w14:paraId="181CA9DA">
        <w:tblPrEx>
          <w:tblCellMar>
            <w:top w:w="0" w:type="dxa"/>
            <w:left w:w="108" w:type="dxa"/>
            <w:bottom w:w="0" w:type="dxa"/>
            <w:right w:w="108" w:type="dxa"/>
          </w:tblCellMar>
        </w:tblPrEx>
        <w:trPr>
          <w:trHeight w:val="420"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DBAB0">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6</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DC7CE1">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是否接受联合体投标</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DA2AB3">
            <w:pPr>
              <w:autoSpaceDE w:val="0"/>
              <w:autoSpaceDN w:val="0"/>
              <w:adjustRightInd w:val="0"/>
              <w:spacing w:line="400" w:lineRule="exact"/>
              <w:rPr>
                <w:rFonts w:hint="eastAsia" w:ascii="宋体" w:hAnsi="宋体" w:eastAsia="宋体" w:cs="宋体"/>
                <w:color w:val="auto"/>
                <w:kern w:val="0"/>
                <w:sz w:val="22"/>
                <w:szCs w:val="22"/>
                <w:highlight w:val="none"/>
              </w:rPr>
            </w:pPr>
            <w:r>
              <w:rPr>
                <w:rFonts w:hint="eastAsia" w:ascii="宋体" w:hAnsi="宋体" w:eastAsia="宋体" w:cs="宋体"/>
                <w:b/>
                <w:snapToGrid w:val="0"/>
                <w:color w:val="auto"/>
                <w:sz w:val="22"/>
                <w:szCs w:val="22"/>
                <w:highlight w:val="none"/>
              </w:rPr>
              <w:sym w:font="Times New Roman" w:char="0000"/>
            </w:r>
            <w:r>
              <w:rPr>
                <w:rFonts w:hint="eastAsia" w:ascii="宋体" w:hAnsi="宋体" w:eastAsia="宋体" w:cs="宋体"/>
                <w:color w:val="auto"/>
                <w:kern w:val="0"/>
                <w:sz w:val="22"/>
                <w:szCs w:val="22"/>
                <w:highlight w:val="none"/>
                <w:lang w:val="zh-CN"/>
              </w:rPr>
              <w:sym w:font="Wingdings 2" w:char="0052"/>
            </w:r>
            <w:r>
              <w:rPr>
                <w:rFonts w:hint="eastAsia" w:ascii="宋体" w:hAnsi="宋体" w:eastAsia="宋体" w:cs="宋体"/>
                <w:color w:val="auto"/>
                <w:kern w:val="0"/>
                <w:sz w:val="22"/>
                <w:szCs w:val="22"/>
                <w:highlight w:val="none"/>
                <w:lang w:val="zh-CN"/>
              </w:rPr>
              <w:t>不接受</w:t>
            </w:r>
            <w:r>
              <w:rPr>
                <w:rFonts w:hint="eastAsia" w:ascii="宋体" w:hAnsi="宋体" w:eastAsia="宋体" w:cs="宋体"/>
                <w:color w:val="auto"/>
                <w:kern w:val="0"/>
                <w:sz w:val="22"/>
                <w:szCs w:val="22"/>
                <w:highlight w:val="none"/>
              </w:rPr>
              <w:t xml:space="preserve"> </w:t>
            </w:r>
          </w:p>
          <w:p w14:paraId="76F4C63B">
            <w:pPr>
              <w:pStyle w:val="89"/>
              <w:rPr>
                <w:rFonts w:hint="eastAsia" w:eastAsia="宋体" w:cs="Times New Roman"/>
                <w:color w:val="auto"/>
                <w:highlight w:val="none"/>
              </w:rPr>
            </w:pPr>
            <w:r>
              <w:rPr>
                <w:rFonts w:hint="eastAsia" w:eastAsia="宋体" w:cs="宋体"/>
                <w:color w:val="auto"/>
                <w:sz w:val="22"/>
                <w:highlight w:val="none"/>
              </w:rPr>
              <w:t xml:space="preserve"> </w:t>
            </w:r>
            <w:r>
              <w:rPr>
                <w:rFonts w:hint="eastAsia" w:eastAsia="宋体" w:cs="宋体"/>
                <w:color w:val="auto"/>
                <w:sz w:val="22"/>
                <w:highlight w:val="none"/>
              </w:rPr>
              <w:sym w:font="Wingdings 2" w:char="00A3"/>
            </w:r>
            <w:r>
              <w:rPr>
                <w:rFonts w:hint="eastAsia" w:eastAsia="宋体" w:cs="宋体"/>
                <w:color w:val="auto"/>
                <w:sz w:val="22"/>
                <w:highlight w:val="none"/>
              </w:rPr>
              <w:t>接受</w:t>
            </w:r>
          </w:p>
        </w:tc>
      </w:tr>
      <w:tr w14:paraId="40918C8E">
        <w:tblPrEx>
          <w:tblCellMar>
            <w:top w:w="0" w:type="dxa"/>
            <w:left w:w="108" w:type="dxa"/>
            <w:bottom w:w="0" w:type="dxa"/>
            <w:right w:w="108" w:type="dxa"/>
          </w:tblCellMar>
        </w:tblPrEx>
        <w:trPr>
          <w:trHeight w:val="750"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303D39">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7</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42D0E6">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踏勘现场</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C582CF6">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□组织</w:t>
            </w:r>
            <w:r>
              <w:rPr>
                <w:rFonts w:hint="eastAsia" w:ascii="宋体" w:hAnsi="宋体" w:eastAsia="宋体" w:cs="宋体"/>
                <w:color w:val="auto"/>
                <w:kern w:val="0"/>
                <w:sz w:val="22"/>
                <w:szCs w:val="22"/>
                <w:highlight w:val="none"/>
              </w:rPr>
              <w:t xml:space="preserve">   </w:t>
            </w:r>
            <w:r>
              <w:rPr>
                <w:rFonts w:hint="eastAsia" w:ascii="宋体" w:hAnsi="宋体" w:eastAsia="宋体" w:cs="宋体"/>
                <w:b/>
                <w:snapToGrid w:val="0"/>
                <w:color w:val="auto"/>
                <w:sz w:val="22"/>
                <w:szCs w:val="22"/>
                <w:highlight w:val="none"/>
              </w:rPr>
              <w:sym w:font="Times New Roman" w:char="0000"/>
            </w:r>
            <w:r>
              <w:rPr>
                <w:rFonts w:hint="eastAsia" w:ascii="宋体" w:hAnsi="宋体" w:eastAsia="宋体" w:cs="宋体"/>
                <w:color w:val="auto"/>
                <w:kern w:val="0"/>
                <w:sz w:val="22"/>
                <w:szCs w:val="22"/>
                <w:highlight w:val="none"/>
                <w:lang w:val="zh-CN"/>
              </w:rPr>
              <w:sym w:font="Wingdings 2" w:char="0052"/>
            </w:r>
            <w:r>
              <w:rPr>
                <w:rFonts w:hint="eastAsia" w:ascii="宋体" w:hAnsi="宋体" w:eastAsia="宋体" w:cs="宋体"/>
                <w:color w:val="auto"/>
                <w:kern w:val="0"/>
                <w:sz w:val="22"/>
                <w:szCs w:val="22"/>
                <w:highlight w:val="none"/>
                <w:lang w:val="zh-CN"/>
              </w:rPr>
              <w:t>不组织</w:t>
            </w:r>
          </w:p>
        </w:tc>
      </w:tr>
      <w:tr w14:paraId="1516717E">
        <w:tblPrEx>
          <w:tblCellMar>
            <w:top w:w="0" w:type="dxa"/>
            <w:left w:w="108" w:type="dxa"/>
            <w:bottom w:w="0" w:type="dxa"/>
            <w:right w:w="108" w:type="dxa"/>
          </w:tblCellMar>
        </w:tblPrEx>
        <w:trPr>
          <w:trHeight w:val="750"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DBCB4D">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8</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D21B6F">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投标预备会</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F27C58">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□召开</w:t>
            </w:r>
            <w:r>
              <w:rPr>
                <w:rFonts w:hint="eastAsia" w:ascii="宋体" w:hAnsi="宋体" w:eastAsia="宋体" w:cs="宋体"/>
                <w:color w:val="auto"/>
                <w:kern w:val="0"/>
                <w:sz w:val="22"/>
                <w:szCs w:val="22"/>
                <w:highlight w:val="none"/>
              </w:rPr>
              <w:t xml:space="preserve">   </w:t>
            </w:r>
            <w:r>
              <w:rPr>
                <w:rFonts w:hint="eastAsia" w:ascii="宋体" w:hAnsi="宋体" w:eastAsia="宋体" w:cs="宋体"/>
                <w:b/>
                <w:snapToGrid w:val="0"/>
                <w:color w:val="auto"/>
                <w:sz w:val="22"/>
                <w:szCs w:val="22"/>
                <w:highlight w:val="none"/>
              </w:rPr>
              <w:sym w:font="Times New Roman" w:char="0000"/>
            </w:r>
            <w:r>
              <w:rPr>
                <w:rFonts w:hint="eastAsia" w:ascii="宋体" w:hAnsi="宋体" w:eastAsia="宋体" w:cs="宋体"/>
                <w:color w:val="auto"/>
                <w:kern w:val="0"/>
                <w:sz w:val="22"/>
                <w:szCs w:val="22"/>
                <w:highlight w:val="none"/>
                <w:lang w:val="zh-CN"/>
              </w:rPr>
              <w:sym w:font="Wingdings 2" w:char="0052"/>
            </w:r>
            <w:r>
              <w:rPr>
                <w:rFonts w:hint="eastAsia" w:ascii="宋体" w:hAnsi="宋体" w:eastAsia="宋体" w:cs="宋体"/>
                <w:color w:val="auto"/>
                <w:kern w:val="0"/>
                <w:sz w:val="22"/>
                <w:szCs w:val="22"/>
                <w:highlight w:val="none"/>
                <w:lang w:val="zh-CN"/>
              </w:rPr>
              <w:t>不召开</w:t>
            </w:r>
          </w:p>
        </w:tc>
      </w:tr>
      <w:tr w14:paraId="3696D647">
        <w:tblPrEx>
          <w:tblCellMar>
            <w:top w:w="0" w:type="dxa"/>
            <w:left w:w="108" w:type="dxa"/>
            <w:bottom w:w="0" w:type="dxa"/>
            <w:right w:w="108" w:type="dxa"/>
          </w:tblCellMar>
        </w:tblPrEx>
        <w:trPr>
          <w:trHeight w:val="821"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F7F179">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9</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A224D16">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w:t>
            </w:r>
            <w:r>
              <w:rPr>
                <w:rFonts w:hint="eastAsia" w:ascii="宋体" w:hAnsi="宋体" w:eastAsia="宋体" w:cs="宋体"/>
                <w:color w:val="auto"/>
                <w:kern w:val="0"/>
                <w:sz w:val="22"/>
                <w:szCs w:val="22"/>
                <w:highlight w:val="none"/>
              </w:rPr>
              <w:t>响应</w:t>
            </w:r>
            <w:r>
              <w:rPr>
                <w:rFonts w:hint="eastAsia" w:ascii="宋体" w:hAnsi="宋体" w:eastAsia="宋体" w:cs="宋体"/>
                <w:color w:val="auto"/>
                <w:kern w:val="0"/>
                <w:sz w:val="22"/>
                <w:szCs w:val="22"/>
                <w:highlight w:val="none"/>
                <w:lang w:val="zh-CN"/>
              </w:rPr>
              <w:t>截止时间</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82FD89">
            <w:pPr>
              <w:autoSpaceDE w:val="0"/>
              <w:autoSpaceDN w:val="0"/>
              <w:adjustRightInd w:val="0"/>
              <w:spacing w:line="400" w:lineRule="exact"/>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见采购公告</w:t>
            </w:r>
          </w:p>
        </w:tc>
      </w:tr>
      <w:tr w14:paraId="72EABB9C">
        <w:tblPrEx>
          <w:tblCellMar>
            <w:top w:w="0" w:type="dxa"/>
            <w:left w:w="108" w:type="dxa"/>
            <w:bottom w:w="0" w:type="dxa"/>
            <w:right w:w="108" w:type="dxa"/>
          </w:tblCellMar>
        </w:tblPrEx>
        <w:trPr>
          <w:trHeight w:val="750"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01112">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10</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1000D4">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分包</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57290E">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□允许</w:t>
            </w:r>
            <w:r>
              <w:rPr>
                <w:rFonts w:hint="eastAsia" w:ascii="宋体" w:hAnsi="宋体" w:eastAsia="宋体" w:cs="宋体"/>
                <w:color w:val="auto"/>
                <w:kern w:val="0"/>
                <w:sz w:val="22"/>
                <w:szCs w:val="22"/>
                <w:highlight w:val="none"/>
              </w:rPr>
              <w:t xml:space="preserve">   </w:t>
            </w:r>
            <w:r>
              <w:rPr>
                <w:rFonts w:hint="eastAsia" w:ascii="宋体" w:hAnsi="宋体" w:eastAsia="宋体" w:cs="宋体"/>
                <w:b/>
                <w:snapToGrid w:val="0"/>
                <w:color w:val="auto"/>
                <w:sz w:val="22"/>
                <w:szCs w:val="22"/>
                <w:highlight w:val="none"/>
              </w:rPr>
              <w:sym w:font="Times New Roman" w:char="0000"/>
            </w:r>
            <w:r>
              <w:rPr>
                <w:rFonts w:hint="eastAsia" w:ascii="宋体" w:hAnsi="宋体" w:eastAsia="宋体" w:cs="宋体"/>
                <w:color w:val="auto"/>
                <w:kern w:val="0"/>
                <w:sz w:val="22"/>
                <w:szCs w:val="22"/>
                <w:highlight w:val="none"/>
                <w:lang w:val="zh-CN"/>
              </w:rPr>
              <w:sym w:font="Wingdings 2" w:char="0052"/>
            </w:r>
            <w:r>
              <w:rPr>
                <w:rFonts w:hint="eastAsia" w:ascii="宋体" w:hAnsi="宋体" w:eastAsia="宋体" w:cs="宋体"/>
                <w:color w:val="auto"/>
                <w:kern w:val="0"/>
                <w:sz w:val="22"/>
                <w:szCs w:val="22"/>
                <w:highlight w:val="none"/>
                <w:lang w:val="zh-CN"/>
              </w:rPr>
              <w:t>不允许</w:t>
            </w:r>
          </w:p>
        </w:tc>
      </w:tr>
      <w:tr w14:paraId="640F6988">
        <w:tblPrEx>
          <w:tblCellMar>
            <w:top w:w="0" w:type="dxa"/>
            <w:left w:w="108" w:type="dxa"/>
            <w:bottom w:w="0" w:type="dxa"/>
            <w:right w:w="108" w:type="dxa"/>
          </w:tblCellMar>
        </w:tblPrEx>
        <w:trPr>
          <w:trHeight w:val="717"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265517">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11</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F5261FC">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偏离</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FE3E8C">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偏差允许幅度及其处理方法：</w:t>
            </w:r>
            <w:r>
              <w:rPr>
                <w:rFonts w:hint="eastAsia" w:ascii="宋体" w:hAnsi="宋体" w:eastAsia="宋体" w:cs="宋体"/>
                <w:color w:val="auto"/>
                <w:kern w:val="0"/>
                <w:sz w:val="22"/>
                <w:szCs w:val="22"/>
                <w:highlight w:val="none"/>
              </w:rPr>
              <w:t>允许细微偏差，</w:t>
            </w:r>
            <w:r>
              <w:rPr>
                <w:rFonts w:hint="eastAsia" w:ascii="宋体" w:hAnsi="宋体" w:eastAsia="宋体" w:cs="宋体"/>
                <w:color w:val="auto"/>
                <w:kern w:val="0"/>
                <w:sz w:val="22"/>
                <w:szCs w:val="22"/>
                <w:highlight w:val="none"/>
                <w:lang w:val="zh-CN"/>
              </w:rPr>
              <w:t>不允许</w:t>
            </w:r>
            <w:r>
              <w:rPr>
                <w:rFonts w:hint="eastAsia" w:ascii="宋体" w:hAnsi="宋体" w:eastAsia="宋体" w:cs="宋体"/>
                <w:color w:val="auto"/>
                <w:kern w:val="0"/>
                <w:sz w:val="22"/>
                <w:szCs w:val="22"/>
                <w:highlight w:val="none"/>
              </w:rPr>
              <w:t>重大</w:t>
            </w:r>
            <w:r>
              <w:rPr>
                <w:rFonts w:hint="eastAsia" w:ascii="宋体" w:hAnsi="宋体" w:eastAsia="宋体" w:cs="宋体"/>
                <w:color w:val="auto"/>
                <w:kern w:val="0"/>
                <w:sz w:val="22"/>
                <w:szCs w:val="22"/>
                <w:highlight w:val="none"/>
                <w:lang w:val="zh-CN"/>
              </w:rPr>
              <w:t>负偏差。</w:t>
            </w:r>
          </w:p>
        </w:tc>
      </w:tr>
      <w:tr w14:paraId="10D94D68">
        <w:tblPrEx>
          <w:tblCellMar>
            <w:top w:w="0" w:type="dxa"/>
            <w:left w:w="108" w:type="dxa"/>
            <w:bottom w:w="0" w:type="dxa"/>
            <w:right w:w="108" w:type="dxa"/>
          </w:tblCellMar>
        </w:tblPrEx>
        <w:trPr>
          <w:trHeight w:val="69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F55F9">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12</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AF115B1">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投标有效期</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2EFA8D">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自投标截止时间起生效，有效期90天。</w:t>
            </w:r>
          </w:p>
        </w:tc>
      </w:tr>
      <w:tr w14:paraId="42F7E964">
        <w:tblPrEx>
          <w:tblCellMar>
            <w:top w:w="0" w:type="dxa"/>
            <w:left w:w="108" w:type="dxa"/>
            <w:bottom w:w="0" w:type="dxa"/>
            <w:right w:w="108" w:type="dxa"/>
          </w:tblCellMar>
        </w:tblPrEx>
        <w:trPr>
          <w:trHeight w:val="571"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E5B4D3">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13</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71F3FD">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投标保证金</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40FD311">
            <w:pPr>
              <w:widowControl/>
              <w:tabs>
                <w:tab w:val="left" w:pos="-360"/>
              </w:tabs>
              <w:autoSpaceDE w:val="0"/>
              <w:autoSpaceDN w:val="0"/>
              <w:spacing w:line="400" w:lineRule="exact"/>
              <w:ind w:right="-34"/>
              <w:textAlignment w:val="bottom"/>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本项目无须提交投标保证金</w:t>
            </w:r>
          </w:p>
        </w:tc>
      </w:tr>
      <w:tr w14:paraId="4BF94624">
        <w:tblPrEx>
          <w:tblCellMar>
            <w:top w:w="0" w:type="dxa"/>
            <w:left w:w="108" w:type="dxa"/>
            <w:bottom w:w="0" w:type="dxa"/>
            <w:right w:w="108" w:type="dxa"/>
          </w:tblCellMar>
        </w:tblPrEx>
        <w:trPr>
          <w:trHeight w:val="821"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505748">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14</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28195A">
            <w:pPr>
              <w:autoSpaceDE w:val="0"/>
              <w:autoSpaceDN w:val="0"/>
              <w:adjustRightInd w:val="0"/>
              <w:spacing w:line="40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投标文件</w:t>
            </w:r>
            <w:r>
              <w:rPr>
                <w:rFonts w:hint="eastAsia" w:ascii="宋体" w:hAnsi="宋体" w:eastAsia="宋体" w:cs="宋体"/>
                <w:b/>
                <w:bCs/>
                <w:color w:val="auto"/>
                <w:kern w:val="0"/>
                <w:sz w:val="22"/>
                <w:szCs w:val="22"/>
                <w:highlight w:val="none"/>
                <w:lang w:val="zh-CN"/>
              </w:rPr>
              <w:t>的组成</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F6D2F5">
            <w:pPr>
              <w:autoSpaceDE w:val="0"/>
              <w:autoSpaceDN w:val="0"/>
              <w:adjustRightInd w:val="0"/>
              <w:spacing w:line="40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由“资格文件”、“商务技术文件”和“报价文件”三个部分组成。纸质投标文件</w:t>
            </w:r>
            <w:bookmarkStart w:id="193" w:name="_GoBack"/>
            <w:r>
              <w:rPr>
                <w:rFonts w:hint="eastAsia" w:ascii="宋体" w:hAnsi="宋体" w:eastAsia="宋体" w:cs="宋体"/>
                <w:b/>
                <w:bCs/>
                <w:color w:val="auto"/>
                <w:kern w:val="0"/>
                <w:sz w:val="22"/>
                <w:szCs w:val="22"/>
                <w:highlight w:val="none"/>
                <w:lang w:val="zh-CN"/>
              </w:rPr>
              <w:t>正本</w:t>
            </w:r>
            <w:bookmarkEnd w:id="193"/>
            <w:r>
              <w:rPr>
                <w:rFonts w:hint="eastAsia" w:ascii="宋体" w:hAnsi="宋体" w:eastAsia="宋体" w:cs="宋体"/>
                <w:b/>
                <w:bCs/>
                <w:color w:val="auto"/>
                <w:kern w:val="0"/>
                <w:sz w:val="22"/>
                <w:szCs w:val="22"/>
                <w:highlight w:val="none"/>
                <w:lang w:val="zh-CN"/>
              </w:rPr>
              <w:t>一份，副本</w:t>
            </w:r>
            <w:r>
              <w:rPr>
                <w:rFonts w:hint="eastAsia" w:ascii="宋体" w:hAnsi="宋体" w:cs="宋体"/>
                <w:b/>
                <w:bCs/>
                <w:color w:val="auto"/>
                <w:kern w:val="0"/>
                <w:sz w:val="22"/>
                <w:szCs w:val="22"/>
                <w:highlight w:val="none"/>
                <w:lang w:val="en-US" w:eastAsia="zh-CN"/>
              </w:rPr>
              <w:t>四</w:t>
            </w:r>
            <w:r>
              <w:rPr>
                <w:rFonts w:hint="eastAsia" w:ascii="宋体" w:hAnsi="宋体" w:eastAsia="宋体" w:cs="宋体"/>
                <w:b/>
                <w:bCs/>
                <w:color w:val="auto"/>
                <w:kern w:val="0"/>
                <w:sz w:val="22"/>
                <w:szCs w:val="22"/>
                <w:highlight w:val="none"/>
                <w:lang w:val="zh-CN"/>
              </w:rPr>
              <w:t>份，共</w:t>
            </w:r>
            <w:r>
              <w:rPr>
                <w:rFonts w:hint="eastAsia" w:ascii="宋体" w:hAnsi="宋体" w:cs="宋体"/>
                <w:b/>
                <w:bCs/>
                <w:color w:val="auto"/>
                <w:kern w:val="0"/>
                <w:sz w:val="22"/>
                <w:szCs w:val="22"/>
                <w:highlight w:val="none"/>
                <w:lang w:val="en-US" w:eastAsia="zh-CN"/>
              </w:rPr>
              <w:t>五</w:t>
            </w:r>
            <w:r>
              <w:rPr>
                <w:rFonts w:hint="eastAsia" w:ascii="宋体" w:hAnsi="宋体" w:eastAsia="宋体" w:cs="宋体"/>
                <w:b/>
                <w:bCs/>
                <w:color w:val="auto"/>
                <w:kern w:val="0"/>
                <w:sz w:val="22"/>
                <w:szCs w:val="22"/>
                <w:highlight w:val="none"/>
                <w:lang w:val="zh-CN"/>
              </w:rPr>
              <w:t>份。</w:t>
            </w:r>
            <w:r>
              <w:rPr>
                <w:rFonts w:hint="eastAsia" w:ascii="宋体" w:hAnsi="宋体" w:eastAsia="宋体" w:cs="新宋体"/>
                <w:b/>
                <w:bCs/>
                <w:color w:val="auto"/>
                <w:kern w:val="0"/>
                <w:sz w:val="22"/>
                <w:szCs w:val="22"/>
                <w:highlight w:val="none"/>
                <w:lang w:val="zh-CN"/>
              </w:rPr>
              <w:t>电子投标文件U盘</w:t>
            </w:r>
            <w:r>
              <w:rPr>
                <w:rFonts w:ascii="宋体" w:hAnsi="宋体" w:eastAsia="宋体" w:cs="新宋体"/>
                <w:b/>
                <w:bCs/>
                <w:color w:val="auto"/>
                <w:kern w:val="0"/>
                <w:sz w:val="22"/>
                <w:szCs w:val="22"/>
                <w:highlight w:val="none"/>
                <w:lang w:val="zh-CN"/>
              </w:rPr>
              <w:t>一</w:t>
            </w:r>
            <w:r>
              <w:rPr>
                <w:rFonts w:hint="eastAsia" w:ascii="宋体" w:hAnsi="宋体" w:eastAsia="宋体" w:cs="新宋体"/>
                <w:b/>
                <w:bCs/>
                <w:color w:val="auto"/>
                <w:kern w:val="0"/>
                <w:sz w:val="22"/>
                <w:szCs w:val="22"/>
                <w:highlight w:val="none"/>
                <w:lang w:val="zh-CN"/>
              </w:rPr>
              <w:t>份</w:t>
            </w:r>
            <w:r>
              <w:rPr>
                <w:rFonts w:ascii="宋体" w:hAnsi="宋体" w:eastAsia="宋体" w:cs="新宋体"/>
                <w:b/>
                <w:bCs/>
                <w:color w:val="auto"/>
                <w:kern w:val="0"/>
                <w:sz w:val="22"/>
                <w:szCs w:val="22"/>
                <w:highlight w:val="none"/>
                <w:lang w:val="zh-CN"/>
              </w:rPr>
              <w:t>，</w:t>
            </w:r>
            <w:r>
              <w:rPr>
                <w:rFonts w:hint="eastAsia" w:ascii="宋体" w:hAnsi="宋体" w:eastAsia="宋体" w:cs="新宋体"/>
                <w:b/>
                <w:bCs/>
                <w:color w:val="auto"/>
                <w:kern w:val="0"/>
                <w:sz w:val="22"/>
                <w:szCs w:val="22"/>
                <w:highlight w:val="none"/>
                <w:lang w:val="zh-CN"/>
              </w:rPr>
              <w:t>共</w:t>
            </w:r>
            <w:r>
              <w:rPr>
                <w:rFonts w:hint="eastAsia" w:ascii="宋体" w:hAnsi="宋体" w:eastAsia="宋体" w:cs="新宋体"/>
                <w:b/>
                <w:bCs/>
                <w:color w:val="auto"/>
                <w:kern w:val="0"/>
                <w:sz w:val="22"/>
                <w:szCs w:val="22"/>
                <w:highlight w:val="none"/>
              </w:rPr>
              <w:t>一</w:t>
            </w:r>
            <w:r>
              <w:rPr>
                <w:rFonts w:hint="eastAsia" w:ascii="宋体" w:hAnsi="宋体" w:eastAsia="宋体" w:cs="新宋体"/>
                <w:b/>
                <w:bCs/>
                <w:color w:val="auto"/>
                <w:kern w:val="0"/>
                <w:sz w:val="22"/>
                <w:szCs w:val="22"/>
                <w:highlight w:val="none"/>
                <w:lang w:val="zh-CN"/>
              </w:rPr>
              <w:t>份。</w:t>
            </w:r>
          </w:p>
        </w:tc>
      </w:tr>
      <w:tr w14:paraId="374D559E">
        <w:tblPrEx>
          <w:tblCellMar>
            <w:top w:w="0" w:type="dxa"/>
            <w:left w:w="108" w:type="dxa"/>
            <w:bottom w:w="0" w:type="dxa"/>
            <w:right w:w="108" w:type="dxa"/>
          </w:tblCellMar>
        </w:tblPrEx>
        <w:trPr>
          <w:trHeight w:val="821"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DE7E424">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15</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AEC348">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开标时间</w:t>
            </w:r>
          </w:p>
          <w:p w14:paraId="3CDDF385">
            <w:pPr>
              <w:autoSpaceDE w:val="0"/>
              <w:autoSpaceDN w:val="0"/>
              <w:adjustRightInd w:val="0"/>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和地点</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FE5188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w:t>
            </w:r>
          </w:p>
        </w:tc>
      </w:tr>
      <w:tr w14:paraId="46183547">
        <w:tblPrEx>
          <w:tblCellMar>
            <w:top w:w="0" w:type="dxa"/>
            <w:left w:w="108" w:type="dxa"/>
            <w:bottom w:w="0" w:type="dxa"/>
            <w:right w:w="108" w:type="dxa"/>
          </w:tblCellMar>
        </w:tblPrEx>
        <w:trPr>
          <w:trHeight w:val="1637"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D68B85">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16</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5248A6">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4A2428A2">
            <w:pPr>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的组建</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58CA70">
            <w:pPr>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bCs/>
                <w:color w:val="auto"/>
                <w:sz w:val="22"/>
                <w:szCs w:val="22"/>
                <w:highlight w:val="none"/>
              </w:rPr>
              <w:t>采购人按照《温州市市属国有企业采购管理办法》等有关法律、法规的规定组建评标委员会，评标委员会由采购人代表和有关技术、经济等方面的专家组成，成员人数为5人（含）以上单数，除采购人代表外的专家将在评标专家库中随机抽取产生。</w:t>
            </w:r>
          </w:p>
        </w:tc>
      </w:tr>
      <w:tr w14:paraId="4409AEEF">
        <w:tblPrEx>
          <w:tblCellMar>
            <w:top w:w="0" w:type="dxa"/>
            <w:left w:w="108" w:type="dxa"/>
            <w:bottom w:w="0" w:type="dxa"/>
            <w:right w:w="108" w:type="dxa"/>
          </w:tblCellMar>
        </w:tblPrEx>
        <w:trPr>
          <w:trHeight w:val="122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B63489">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17</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6DFF6E">
            <w:pPr>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履约保证金</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4827E2">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eq \o\ac(</w:instrText>
            </w:r>
            <w:r>
              <w:rPr>
                <w:rFonts w:hint="eastAsia" w:ascii="宋体" w:hAnsi="宋体" w:eastAsia="宋体" w:cs="宋体"/>
                <w:color w:val="auto"/>
                <w:kern w:val="0"/>
                <w:position w:val="-4"/>
                <w:sz w:val="22"/>
                <w:szCs w:val="22"/>
                <w:highlight w:val="none"/>
              </w:rPr>
              <w:instrText xml:space="preserve">□</w:instrText>
            </w:r>
            <w:r>
              <w:rPr>
                <w:rFonts w:hint="eastAsia" w:ascii="宋体" w:hAnsi="宋体" w:eastAsia="宋体" w:cs="宋体"/>
                <w:color w:val="auto"/>
                <w:kern w:val="0"/>
                <w:sz w:val="22"/>
                <w:szCs w:val="22"/>
                <w:highlight w:val="none"/>
              </w:rPr>
              <w:instrText xml:space="preserve">)</w:instrTex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不需要</w:t>
            </w:r>
          </w:p>
          <w:p w14:paraId="4DB6B141">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eq \o\ac(</w:instrText>
            </w:r>
            <w:r>
              <w:rPr>
                <w:rFonts w:hint="eastAsia" w:ascii="宋体" w:hAnsi="宋体" w:eastAsia="宋体" w:cs="宋体"/>
                <w:color w:val="auto"/>
                <w:kern w:val="0"/>
                <w:position w:val="-4"/>
                <w:sz w:val="22"/>
                <w:szCs w:val="22"/>
                <w:highlight w:val="none"/>
              </w:rPr>
              <w:instrText xml:space="preserve">□</w:instrText>
            </w:r>
            <w:r>
              <w:rPr>
                <w:rFonts w:hint="eastAsia" w:ascii="宋体" w:hAnsi="宋体" w:cs="宋体"/>
                <w:color w:val="auto"/>
                <w:kern w:val="0"/>
                <w:position w:val="-4"/>
                <w:sz w:val="22"/>
                <w:szCs w:val="22"/>
                <w:highlight w:val="none"/>
                <w:lang w:eastAsia="zh-CN"/>
              </w:rPr>
              <w:instrText xml:space="preserve">,</w:instrText>
            </w:r>
            <w:r>
              <w:rPr>
                <w:rFonts w:hint="eastAsia" w:ascii="宋体" w:hAnsi="宋体" w:cs="宋体"/>
                <w:color w:val="auto"/>
                <w:kern w:val="0"/>
                <w:position w:val="-1"/>
                <w:sz w:val="15"/>
                <w:szCs w:val="22"/>
                <w:highlight w:val="none"/>
                <w:lang w:eastAsia="zh-CN"/>
              </w:rPr>
              <w:instrText xml:space="preserve">√</w:instrText>
            </w:r>
            <w:r>
              <w:rPr>
                <w:rFonts w:hint="eastAsia" w:ascii="宋体" w:hAnsi="宋体" w:eastAsia="宋体" w:cs="宋体"/>
                <w:color w:val="auto"/>
                <w:kern w:val="0"/>
                <w:sz w:val="22"/>
                <w:szCs w:val="22"/>
                <w:highlight w:val="none"/>
              </w:rPr>
              <w:instrText xml:space="preserve">)</w:instrTex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需要</w:t>
            </w:r>
          </w:p>
          <w:p w14:paraId="42F8AD17">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履约保证金的形式：</w:t>
            </w:r>
            <w:r>
              <w:rPr>
                <w:rFonts w:hint="eastAsia" w:ascii="宋体" w:hAnsi="宋体" w:cs="宋体"/>
                <w:color w:val="auto"/>
                <w:kern w:val="0"/>
                <w:sz w:val="22"/>
                <w:szCs w:val="22"/>
                <w:highlight w:val="none"/>
                <w:u w:val="single"/>
                <w:lang w:val="en-US" w:eastAsia="zh-CN"/>
              </w:rPr>
              <w:t>银行转账</w:t>
            </w:r>
            <w:r>
              <w:rPr>
                <w:rFonts w:hint="eastAsia" w:ascii="宋体" w:hAnsi="宋体" w:eastAsia="宋体" w:cs="宋体"/>
                <w:color w:val="auto"/>
                <w:kern w:val="0"/>
                <w:sz w:val="22"/>
                <w:szCs w:val="22"/>
                <w:highlight w:val="none"/>
              </w:rPr>
              <w:t>。</w:t>
            </w:r>
          </w:p>
          <w:p w14:paraId="2FF08C63">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履约保证金的金额：</w:t>
            </w:r>
            <w:r>
              <w:rPr>
                <w:rFonts w:hint="eastAsia" w:ascii="宋体" w:hAnsi="宋体" w:cs="宋体"/>
                <w:color w:val="auto"/>
                <w:kern w:val="0"/>
                <w:sz w:val="22"/>
                <w:szCs w:val="22"/>
                <w:highlight w:val="none"/>
                <w:u w:val="single"/>
                <w:lang w:val="en-US" w:eastAsia="zh-CN"/>
              </w:rPr>
              <w:t>合同总价的10%</w:t>
            </w:r>
            <w:r>
              <w:rPr>
                <w:rFonts w:hint="eastAsia" w:ascii="宋体" w:hAnsi="宋体" w:cs="宋体"/>
                <w:color w:val="auto"/>
                <w:kern w:val="0"/>
                <w:sz w:val="22"/>
                <w:szCs w:val="22"/>
                <w:highlight w:val="none"/>
                <w:u w:val="none"/>
                <w:lang w:val="en-US" w:eastAsia="zh-CN"/>
              </w:rPr>
              <w:t>。</w:t>
            </w:r>
            <w:r>
              <w:rPr>
                <w:rFonts w:hint="eastAsia" w:ascii="宋体" w:hAnsi="宋体" w:eastAsia="宋体" w:cs="宋体"/>
                <w:color w:val="auto"/>
                <w:kern w:val="0"/>
                <w:sz w:val="22"/>
                <w:szCs w:val="22"/>
                <w:highlight w:val="none"/>
              </w:rPr>
              <w:t xml:space="preserve"> </w:t>
            </w:r>
          </w:p>
        </w:tc>
      </w:tr>
      <w:tr w14:paraId="1F1DCE90">
        <w:tblPrEx>
          <w:tblCellMar>
            <w:top w:w="0" w:type="dxa"/>
            <w:left w:w="108" w:type="dxa"/>
            <w:bottom w:w="0" w:type="dxa"/>
            <w:right w:w="108" w:type="dxa"/>
          </w:tblCellMar>
        </w:tblPrEx>
        <w:trPr>
          <w:trHeight w:val="122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624D03">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18</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D2573AE">
            <w:pPr>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合同备案</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AA9BA9">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（1）中标人在中标通知书发出之日起30日历天内与采购人签订合同。</w:t>
            </w:r>
          </w:p>
          <w:p w14:paraId="4CC3BD5B">
            <w:pPr>
              <w:spacing w:line="40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（2）中标人与采购人签订合同后，2日历天内将合同扫描件电子版发给采购代理机构：邮箱：</w:t>
            </w:r>
            <w:r>
              <w:rPr>
                <w:rFonts w:hint="eastAsia" w:ascii="宋体" w:hAnsi="宋体" w:cs="宋体"/>
                <w:color w:val="auto"/>
                <w:sz w:val="22"/>
                <w:szCs w:val="22"/>
                <w:highlight w:val="none"/>
                <w:lang w:eastAsia="zh-CN"/>
              </w:rPr>
              <w:t>2716504778@qq.com</w:t>
            </w:r>
            <w:r>
              <w:rPr>
                <w:rFonts w:hint="eastAsia" w:ascii="宋体" w:hAnsi="宋体" w:eastAsia="宋体" w:cs="宋体"/>
                <w:color w:val="auto"/>
                <w:sz w:val="22"/>
                <w:szCs w:val="22"/>
                <w:highlight w:val="none"/>
              </w:rPr>
              <w:t>。</w:t>
            </w:r>
          </w:p>
        </w:tc>
      </w:tr>
      <w:tr w14:paraId="1B36ABD3">
        <w:tblPrEx>
          <w:tblCellMar>
            <w:top w:w="0" w:type="dxa"/>
            <w:left w:w="108" w:type="dxa"/>
            <w:bottom w:w="0" w:type="dxa"/>
            <w:right w:w="108" w:type="dxa"/>
          </w:tblCellMar>
        </w:tblPrEx>
        <w:trPr>
          <w:trHeight w:val="1229"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3E73EC">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19</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5E79288">
            <w:pPr>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合同履约管理</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6215DE">
            <w:pPr>
              <w:spacing w:line="40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合同签订后，采购人依法加强对合同履约进行管理，并在中标单位服务、项目验收等重要关节，如实填写《合同验收报告》（或考核资料），并及时向同级财政部门报告验收过程中遇到的问题。</w:t>
            </w:r>
          </w:p>
        </w:tc>
      </w:tr>
      <w:tr w14:paraId="001FF183">
        <w:tblPrEx>
          <w:tblCellMar>
            <w:top w:w="0" w:type="dxa"/>
            <w:left w:w="108" w:type="dxa"/>
            <w:bottom w:w="0" w:type="dxa"/>
            <w:right w:w="108" w:type="dxa"/>
          </w:tblCellMar>
        </w:tblPrEx>
        <w:trPr>
          <w:trHeight w:val="2862"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98F5783">
            <w:pPr>
              <w:autoSpaceDE w:val="0"/>
              <w:autoSpaceDN w:val="0"/>
              <w:adjustRightInd w:val="0"/>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20</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5DD1E4">
            <w:pPr>
              <w:spacing w:line="40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解释权</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D1716C">
            <w:pPr>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615DD811">
        <w:tblPrEx>
          <w:tblCellMar>
            <w:top w:w="0" w:type="dxa"/>
            <w:left w:w="108" w:type="dxa"/>
            <w:bottom w:w="0" w:type="dxa"/>
            <w:right w:w="108" w:type="dxa"/>
          </w:tblCellMar>
        </w:tblPrEx>
        <w:trPr>
          <w:trHeight w:val="826"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278515A">
            <w:pPr>
              <w:autoSpaceDE w:val="0"/>
              <w:autoSpaceDN w:val="0"/>
              <w:adjustRightInd w:val="0"/>
              <w:spacing w:line="400" w:lineRule="exact"/>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C35EB0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263CAE">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按固定金额人民币6000元整收取，由各中标人在领取中标通知书之前支付给采购代理机构。</w:t>
            </w:r>
          </w:p>
        </w:tc>
      </w:tr>
      <w:tr w14:paraId="06231494">
        <w:tblPrEx>
          <w:tblCellMar>
            <w:top w:w="0" w:type="dxa"/>
            <w:left w:w="108" w:type="dxa"/>
            <w:bottom w:w="0" w:type="dxa"/>
            <w:right w:w="108" w:type="dxa"/>
          </w:tblCellMar>
        </w:tblPrEx>
        <w:trPr>
          <w:trHeight w:val="826" w:hRule="atLeast"/>
        </w:trPr>
        <w:tc>
          <w:tcPr>
            <w:tcW w:w="37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AF3215">
            <w:pPr>
              <w:autoSpaceDE w:val="0"/>
              <w:autoSpaceDN w:val="0"/>
              <w:adjustRightInd w:val="0"/>
              <w:spacing w:line="400" w:lineRule="exact"/>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764"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C90C3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乐采云国企采购平台收费</w:t>
            </w:r>
          </w:p>
        </w:tc>
        <w:tc>
          <w:tcPr>
            <w:tcW w:w="386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FC2F57A">
            <w:pPr>
              <w:tabs>
                <w:tab w:val="left" w:pos="540"/>
              </w:tabs>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乐采云国企采购平台项目采购收费标准(温州市市属国企区）</w:t>
            </w:r>
          </w:p>
          <w:p w14:paraId="7309A9F9">
            <w:pPr>
              <w:tabs>
                <w:tab w:val="left" w:pos="540"/>
              </w:tabs>
              <w:spacing w:line="44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(一)不涉及具体金额的采购项目，技术服务费800元/件:</w:t>
            </w:r>
          </w:p>
          <w:p w14:paraId="70ECA126">
            <w:pPr>
              <w:tabs>
                <w:tab w:val="left" w:pos="540"/>
              </w:tabs>
              <w:spacing w:line="44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 涉及具体金额的采购项目，根据标的额，按照以下比例收取技术服务费：1）中标价100万元以下 (含100万元的): 按800元收取；2）中标价超过100万元的: 中标价的千分之(0.1%) ，以30000元封顶。</w:t>
            </w:r>
          </w:p>
        </w:tc>
      </w:tr>
    </w:tbl>
    <w:p w14:paraId="267C59C8">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r>
        <w:rPr>
          <w:rFonts w:hint="eastAsia" w:ascii="宋体" w:hAnsi="宋体" w:cs="宋体"/>
          <w:b/>
          <w:bCs/>
          <w:color w:val="auto"/>
          <w:sz w:val="26"/>
          <w:szCs w:val="26"/>
          <w:highlight w:val="none"/>
        </w:rPr>
        <w:t xml:space="preserve"> </w:t>
      </w:r>
      <w:bookmarkStart w:id="37" w:name="_Toc4603"/>
      <w:r>
        <w:rPr>
          <w:rFonts w:hint="eastAsia" w:ascii="宋体" w:hAnsi="宋体" w:cs="宋体"/>
          <w:b/>
          <w:bCs/>
          <w:color w:val="auto"/>
          <w:sz w:val="26"/>
          <w:szCs w:val="26"/>
          <w:highlight w:val="none"/>
        </w:rPr>
        <w:t>说明</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14AB6E7">
      <w:pPr>
        <w:numPr>
          <w:ilvl w:val="0"/>
          <w:numId w:val="6"/>
        </w:numPr>
        <w:tabs>
          <w:tab w:val="left" w:pos="540"/>
          <w:tab w:val="left" w:pos="90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本次采购是按照《温州市市属国有企业采购管理办法》等法律及有关法规组织和实施的。</w:t>
      </w:r>
    </w:p>
    <w:p w14:paraId="4F8780FC">
      <w:pPr>
        <w:numPr>
          <w:ilvl w:val="0"/>
          <w:numId w:val="6"/>
        </w:numPr>
        <w:tabs>
          <w:tab w:val="left" w:pos="540"/>
          <w:tab w:val="left" w:pos="90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b/>
          <w:bCs/>
          <w:color w:val="auto"/>
          <w:szCs w:val="21"/>
          <w:highlight w:val="none"/>
        </w:rPr>
        <w:t>▲</w:t>
      </w:r>
      <w:r>
        <w:rPr>
          <w:rFonts w:hint="eastAsia" w:ascii="宋体" w:hAnsi="宋体" w:cs="宋体"/>
          <w:b/>
          <w:color w:val="auto"/>
          <w:sz w:val="22"/>
          <w:szCs w:val="22"/>
          <w:highlight w:val="none"/>
          <w:u w:val="single"/>
        </w:rPr>
        <w:t>合格投标人</w:t>
      </w:r>
    </w:p>
    <w:p w14:paraId="49812B31">
      <w:pPr>
        <w:tabs>
          <w:tab w:val="left" w:pos="540"/>
          <w:tab w:val="left" w:pos="900"/>
        </w:tabs>
        <w:spacing w:line="440" w:lineRule="exact"/>
        <w:ind w:firstLine="1104" w:firstLineChars="500"/>
        <w:rPr>
          <w:rFonts w:hint="eastAsia" w:ascii="宋体" w:hAnsi="宋体" w:cs="宋体"/>
          <w:color w:val="auto"/>
          <w:sz w:val="22"/>
          <w:szCs w:val="22"/>
          <w:highlight w:val="none"/>
        </w:rPr>
      </w:pPr>
      <w:r>
        <w:rPr>
          <w:rFonts w:hint="eastAsia" w:ascii="宋体" w:hAnsi="宋体" w:cs="宋体"/>
          <w:b/>
          <w:color w:val="auto"/>
          <w:sz w:val="22"/>
          <w:szCs w:val="22"/>
          <w:highlight w:val="none"/>
          <w:u w:val="single"/>
        </w:rPr>
        <w:t>详见采购公告</w:t>
      </w:r>
    </w:p>
    <w:p w14:paraId="4A049017">
      <w:pPr>
        <w:numPr>
          <w:ilvl w:val="0"/>
          <w:numId w:val="6"/>
        </w:numPr>
        <w:tabs>
          <w:tab w:val="left" w:pos="540"/>
          <w:tab w:val="left" w:pos="90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投标人代表</w:t>
      </w:r>
    </w:p>
    <w:p w14:paraId="2C9AD6CE">
      <w:pPr>
        <w:spacing w:line="440" w:lineRule="exact"/>
        <w:ind w:left="538" w:leftChars="256"/>
        <w:rPr>
          <w:rFonts w:hint="eastAsia" w:ascii="宋体" w:hAnsi="宋体" w:cs="宋体"/>
          <w:color w:val="auto"/>
          <w:sz w:val="22"/>
          <w:szCs w:val="22"/>
          <w:highlight w:val="none"/>
        </w:rPr>
      </w:pPr>
      <w:r>
        <w:rPr>
          <w:rFonts w:hint="eastAsia" w:ascii="宋体" w:hAnsi="宋体" w:cs="宋体"/>
          <w:color w:val="auto"/>
          <w:sz w:val="22"/>
          <w:szCs w:val="22"/>
          <w:highlight w:val="none"/>
        </w:rPr>
        <w:t>指全权代表投标人参加投标活动并签署投标文件的人。如果投标人代表不是法定代表人，须持有《法定代表人授权书》。</w:t>
      </w:r>
    </w:p>
    <w:p w14:paraId="286CF47F">
      <w:pPr>
        <w:numPr>
          <w:ilvl w:val="0"/>
          <w:numId w:val="6"/>
        </w:numPr>
        <w:tabs>
          <w:tab w:val="left" w:pos="540"/>
          <w:tab w:val="left" w:pos="90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投标费用</w:t>
      </w:r>
    </w:p>
    <w:p w14:paraId="41438F1D">
      <w:pPr>
        <w:spacing w:line="440" w:lineRule="exact"/>
        <w:ind w:left="538" w:leftChars="256"/>
        <w:rPr>
          <w:rFonts w:hint="eastAsia" w:ascii="宋体" w:hAnsi="宋体" w:cs="宋体"/>
          <w:color w:val="auto"/>
          <w:sz w:val="22"/>
          <w:szCs w:val="22"/>
          <w:highlight w:val="none"/>
        </w:rPr>
      </w:pPr>
      <w:r>
        <w:rPr>
          <w:rFonts w:hint="eastAsia" w:ascii="宋体" w:hAnsi="宋体" w:cs="宋体"/>
          <w:color w:val="auto"/>
          <w:sz w:val="22"/>
          <w:szCs w:val="22"/>
          <w:highlight w:val="none"/>
        </w:rPr>
        <w:t>投标人应承担所有与准备和参加投标有关费用，不论投标的结果如何，采购人和采购代理机构均无义务和责任承担这些费用。</w:t>
      </w:r>
    </w:p>
    <w:p w14:paraId="58A47324">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38" w:name="_Toc221374624"/>
      <w:bookmarkStart w:id="39" w:name="_Toc221423617"/>
      <w:bookmarkStart w:id="40" w:name="_Toc223715996"/>
      <w:bookmarkStart w:id="41" w:name="_Toc221356949"/>
      <w:bookmarkStart w:id="42" w:name="_Toc239145352"/>
      <w:bookmarkStart w:id="43" w:name="_Toc246261263"/>
      <w:bookmarkStart w:id="44" w:name="_Toc262049416"/>
      <w:bookmarkStart w:id="45" w:name="_Toc249758862"/>
      <w:bookmarkStart w:id="46" w:name="_Toc245722279"/>
      <w:bookmarkStart w:id="47" w:name="_Toc249758710"/>
      <w:bookmarkStart w:id="48" w:name="_Toc241404200"/>
      <w:bookmarkStart w:id="49" w:name="_Toc222114877"/>
      <w:bookmarkStart w:id="50" w:name="_Toc245191312"/>
      <w:bookmarkStart w:id="51" w:name="_Toc262105501"/>
      <w:bookmarkStart w:id="52" w:name="_Toc221356884"/>
      <w:r>
        <w:rPr>
          <w:rFonts w:hint="eastAsia" w:ascii="宋体" w:hAnsi="宋体" w:cs="宋体"/>
          <w:b/>
          <w:bCs/>
          <w:color w:val="auto"/>
          <w:sz w:val="26"/>
          <w:szCs w:val="26"/>
          <w:highlight w:val="none"/>
        </w:rPr>
        <w:t xml:space="preserve"> </w:t>
      </w:r>
      <w:bookmarkStart w:id="53" w:name="_Toc25344"/>
      <w:r>
        <w:rPr>
          <w:rFonts w:hint="eastAsia" w:ascii="宋体" w:hAnsi="宋体" w:cs="宋体"/>
          <w:b/>
          <w:bCs/>
          <w:color w:val="auto"/>
          <w:sz w:val="26"/>
          <w:szCs w:val="26"/>
          <w:highlight w:val="none"/>
        </w:rPr>
        <w:t>采购文件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112FA70">
      <w:pPr>
        <w:numPr>
          <w:ilvl w:val="0"/>
          <w:numId w:val="7"/>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采购文件由采购文件目录所列内容及相关资料组成。</w:t>
      </w:r>
    </w:p>
    <w:p w14:paraId="60155FE0">
      <w:pPr>
        <w:numPr>
          <w:ilvl w:val="0"/>
          <w:numId w:val="7"/>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采购文件的澄清和修改</w:t>
      </w:r>
    </w:p>
    <w:p w14:paraId="379CA4A9">
      <w:pPr>
        <w:tabs>
          <w:tab w:val="left" w:pos="360"/>
        </w:tabs>
        <w:spacing w:line="44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采购单位对已发出的采购文件进行必要的澄清或者修改的，应当在浙江省政府采购网和</w:t>
      </w:r>
      <w:r>
        <w:rPr>
          <w:rFonts w:hint="eastAsia" w:ascii="宋体" w:hAnsi="宋体" w:cs="宋体"/>
          <w:bCs/>
          <w:color w:val="auto"/>
          <w:sz w:val="22"/>
          <w:szCs w:val="22"/>
          <w:highlight w:val="none"/>
        </w:rPr>
        <w:t>温州国企采购平台等指定信息媒体</w:t>
      </w:r>
      <w:r>
        <w:rPr>
          <w:rFonts w:hint="eastAsia" w:ascii="宋体" w:hAnsi="宋体" w:cs="宋体"/>
          <w:color w:val="auto"/>
          <w:sz w:val="22"/>
          <w:szCs w:val="22"/>
          <w:highlight w:val="none"/>
        </w:rPr>
        <w:t>上发布更正公告，并以书面形式通知所有采购文件收受人。该澄清和修改的内容为采购文件的组成部分。澄清或者修改的内容可能影响投标文件编制的，采购人或者采购代理机构应当在投标截止时间至少3日前，以书面形式通知所有获取采购文件的潜在投标人；不足3日的，采购人将顺延提交投标文件的截止时间。</w:t>
      </w:r>
    </w:p>
    <w:p w14:paraId="181D0C14">
      <w:pPr>
        <w:tabs>
          <w:tab w:val="left" w:pos="360"/>
        </w:tabs>
        <w:spacing w:line="44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rPr>
        <w:t>采购文件如有补充更正均见</w:t>
      </w:r>
      <w:r>
        <w:rPr>
          <w:rFonts w:hint="eastAsia" w:ascii="宋体" w:hAnsi="宋体" w:cs="宋体"/>
          <w:color w:val="auto"/>
          <w:sz w:val="22"/>
          <w:szCs w:val="22"/>
          <w:highlight w:val="none"/>
        </w:rPr>
        <w:t>浙江政府采购网、温州国企采购平台</w:t>
      </w:r>
      <w:r>
        <w:rPr>
          <w:rFonts w:hint="eastAsia" w:ascii="宋体" w:hAnsi="宋体" w:cs="宋体"/>
          <w:bCs/>
          <w:color w:val="auto"/>
          <w:sz w:val="22"/>
          <w:szCs w:val="22"/>
          <w:highlight w:val="none"/>
        </w:rPr>
        <w:t>所发布的更正通知。投标人须在开标前自行查看是否有补充更正文件，并按补充更正文件要求投标，否则责任自负</w:t>
      </w:r>
      <w:r>
        <w:rPr>
          <w:rFonts w:hint="eastAsia" w:ascii="宋体" w:hAnsi="宋体" w:cs="宋体"/>
          <w:color w:val="auto"/>
          <w:sz w:val="22"/>
          <w:szCs w:val="22"/>
          <w:highlight w:val="none"/>
        </w:rPr>
        <w:t>。</w:t>
      </w:r>
    </w:p>
    <w:p w14:paraId="2DF8A8EB">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54" w:name="_Toc221356950"/>
      <w:bookmarkStart w:id="55" w:name="_Toc222114878"/>
      <w:bookmarkStart w:id="56" w:name="_Toc249758863"/>
      <w:bookmarkStart w:id="57" w:name="_Toc262105502"/>
      <w:bookmarkStart w:id="58" w:name="_Toc245191313"/>
      <w:bookmarkStart w:id="59" w:name="_Toc223715997"/>
      <w:bookmarkStart w:id="60" w:name="_Toc221423618"/>
      <w:bookmarkStart w:id="61" w:name="_Toc249758711"/>
      <w:bookmarkStart w:id="62" w:name="_Toc262049417"/>
      <w:bookmarkStart w:id="63" w:name="_Toc221374625"/>
      <w:bookmarkStart w:id="64" w:name="_Toc246261264"/>
      <w:bookmarkStart w:id="65" w:name="_Toc239145353"/>
      <w:bookmarkStart w:id="66" w:name="_Toc241404201"/>
      <w:bookmarkStart w:id="67" w:name="_Toc221356885"/>
      <w:bookmarkStart w:id="68" w:name="_Toc245722280"/>
      <w:r>
        <w:rPr>
          <w:rFonts w:hint="eastAsia" w:ascii="宋体" w:hAnsi="宋体" w:cs="宋体"/>
          <w:b/>
          <w:bCs/>
          <w:color w:val="auto"/>
          <w:sz w:val="26"/>
          <w:szCs w:val="26"/>
          <w:highlight w:val="none"/>
        </w:rPr>
        <w:t xml:space="preserve"> </w:t>
      </w:r>
      <w:bookmarkStart w:id="69" w:name="_Toc12646"/>
      <w:r>
        <w:rPr>
          <w:rFonts w:hint="eastAsia" w:ascii="宋体" w:hAnsi="宋体" w:cs="宋体"/>
          <w:b/>
          <w:bCs/>
          <w:color w:val="auto"/>
          <w:sz w:val="26"/>
          <w:szCs w:val="26"/>
          <w:highlight w:val="none"/>
        </w:rPr>
        <w:t>投标文件的编制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CF5B0A2">
      <w:pPr>
        <w:numPr>
          <w:ilvl w:val="0"/>
          <w:numId w:val="8"/>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投标人应认真阅读采购文件中所有事项格式、条款和技术规范等。</w:t>
      </w:r>
      <w:r>
        <w:rPr>
          <w:rFonts w:hint="eastAsia" w:ascii="宋体" w:hAnsi="宋体" w:cs="宋体"/>
          <w:b/>
          <w:color w:val="auto"/>
          <w:sz w:val="22"/>
          <w:szCs w:val="22"/>
          <w:highlight w:val="none"/>
        </w:rPr>
        <w:t>投标人没有按照采购文件要求提交全部资料，或者没有对采购文件各个方面做出实质性响应，导致投标被拒绝的风险由投标人自行承担。</w:t>
      </w:r>
    </w:p>
    <w:p w14:paraId="7FA06A86">
      <w:pPr>
        <w:numPr>
          <w:ilvl w:val="0"/>
          <w:numId w:val="8"/>
        </w:numPr>
        <w:tabs>
          <w:tab w:val="left" w:pos="540"/>
          <w:tab w:val="clear" w:pos="420"/>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72319424">
      <w:pPr>
        <w:numPr>
          <w:ilvl w:val="0"/>
          <w:numId w:val="8"/>
        </w:numPr>
        <w:tabs>
          <w:tab w:val="left" w:pos="540"/>
          <w:tab w:val="clear" w:pos="42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投标文件的构成：</w:t>
      </w:r>
    </w:p>
    <w:p w14:paraId="1F6CBB9B">
      <w:pPr>
        <w:numPr>
          <w:ilvl w:val="1"/>
          <w:numId w:val="9"/>
        </w:numPr>
        <w:tabs>
          <w:tab w:val="left" w:pos="360"/>
          <w:tab w:val="left" w:pos="1135"/>
          <w:tab w:val="clear" w:pos="992"/>
        </w:tabs>
        <w:spacing w:line="440" w:lineRule="exact"/>
        <w:ind w:left="360" w:hanging="360"/>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  投标文件由资格文件、商务技术文件、报价文件三部分构成：</w:t>
      </w:r>
    </w:p>
    <w:p w14:paraId="01DD2125">
      <w:pPr>
        <w:spacing w:line="440" w:lineRule="exact"/>
        <w:ind w:left="187" w:leftChars="85" w:hanging="9" w:hangingChars="4"/>
        <w:rPr>
          <w:rFonts w:hint="eastAsia" w:ascii="宋体" w:hAnsi="宋体" w:cs="宋体"/>
          <w:b/>
          <w:color w:val="auto"/>
          <w:sz w:val="22"/>
          <w:szCs w:val="22"/>
          <w:highlight w:val="none"/>
        </w:rPr>
      </w:pPr>
      <w:r>
        <w:rPr>
          <w:rFonts w:hint="eastAsia" w:ascii="宋体" w:hAnsi="宋体" w:cs="宋体"/>
          <w:b/>
          <w:color w:val="auto"/>
          <w:sz w:val="22"/>
          <w:szCs w:val="22"/>
          <w:highlight w:val="none"/>
        </w:rPr>
        <w:t>（1）资格文件</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710"/>
        <w:gridCol w:w="1256"/>
      </w:tblGrid>
      <w:tr w14:paraId="4101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8" w:type="dxa"/>
            <w:noWrap w:val="0"/>
            <w:vAlign w:val="center"/>
          </w:tcPr>
          <w:p w14:paraId="60D5EEBE">
            <w:pPr>
              <w:overflowPunct w:val="0"/>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710" w:type="dxa"/>
            <w:noWrap w:val="0"/>
            <w:vAlign w:val="center"/>
          </w:tcPr>
          <w:p w14:paraId="535006A3">
            <w:pPr>
              <w:overflowPunct w:val="0"/>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 容</w:t>
            </w:r>
          </w:p>
        </w:tc>
        <w:tc>
          <w:tcPr>
            <w:tcW w:w="1256" w:type="dxa"/>
            <w:noWrap w:val="0"/>
            <w:vAlign w:val="center"/>
          </w:tcPr>
          <w:p w14:paraId="1BD0A010">
            <w:pPr>
              <w:overflowPunct w:val="0"/>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5B34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3C6C60DB">
            <w:pPr>
              <w:overflowPunct w:val="0"/>
              <w:spacing w:line="43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7710" w:type="dxa"/>
            <w:noWrap w:val="0"/>
            <w:vAlign w:val="center"/>
          </w:tcPr>
          <w:p w14:paraId="75921175">
            <w:pP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营业执照(或事业法人登记证书或其它工商等登记证明材料；自然人参与采购，提供身份证)复印件、税务登记证(或其它缴纳证明材料)复印件、社保登记证（或其它缴纳证明材料）复印件；实施“五证合一、一照一码”登记制度改革的，只需提供改革后取得的营业执照复印件</w:t>
            </w:r>
          </w:p>
        </w:tc>
        <w:tc>
          <w:tcPr>
            <w:tcW w:w="1256" w:type="dxa"/>
            <w:noWrap w:val="0"/>
            <w:vAlign w:val="center"/>
          </w:tcPr>
          <w:p w14:paraId="3BAB21C2">
            <w:pPr>
              <w:overflowPunct w:val="0"/>
              <w:spacing w:line="430" w:lineRule="exact"/>
              <w:jc w:val="center"/>
              <w:rPr>
                <w:rFonts w:hint="eastAsia" w:ascii="宋体" w:hAnsi="宋体" w:eastAsia="宋体" w:cs="宋体"/>
                <w:b/>
                <w:color w:val="auto"/>
                <w:sz w:val="22"/>
                <w:szCs w:val="22"/>
                <w:highlight w:val="none"/>
              </w:rPr>
            </w:pPr>
          </w:p>
        </w:tc>
      </w:tr>
      <w:tr w14:paraId="559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0DA8503">
            <w:pPr>
              <w:overflowPunct w:val="0"/>
              <w:spacing w:line="43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7710" w:type="dxa"/>
            <w:noWrap w:val="0"/>
            <w:vAlign w:val="center"/>
          </w:tcPr>
          <w:p w14:paraId="600C11E7">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法定代表人声明书或法定代表人授权书</w:t>
            </w:r>
          </w:p>
        </w:tc>
        <w:tc>
          <w:tcPr>
            <w:tcW w:w="1256" w:type="dxa"/>
            <w:vMerge w:val="restart"/>
            <w:noWrap w:val="0"/>
            <w:vAlign w:val="center"/>
          </w:tcPr>
          <w:p w14:paraId="080312DA">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14:paraId="6B5B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E60C0A9">
            <w:pPr>
              <w:overflowPunct w:val="0"/>
              <w:spacing w:line="43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7710" w:type="dxa"/>
            <w:noWrap w:val="0"/>
            <w:vAlign w:val="center"/>
          </w:tcPr>
          <w:p w14:paraId="3212F398">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投标人参与国企采购活动投标资格声明函</w:t>
            </w:r>
          </w:p>
        </w:tc>
        <w:tc>
          <w:tcPr>
            <w:tcW w:w="1256" w:type="dxa"/>
            <w:vMerge w:val="continue"/>
            <w:noWrap w:val="0"/>
            <w:vAlign w:val="center"/>
          </w:tcPr>
          <w:p w14:paraId="50094C5B">
            <w:pPr>
              <w:spacing w:line="400" w:lineRule="exact"/>
              <w:jc w:val="center"/>
              <w:rPr>
                <w:rFonts w:hint="eastAsia" w:ascii="宋体" w:hAnsi="宋体" w:eastAsia="宋体" w:cs="宋体"/>
                <w:color w:val="auto"/>
                <w:sz w:val="22"/>
                <w:szCs w:val="22"/>
                <w:highlight w:val="none"/>
              </w:rPr>
            </w:pPr>
          </w:p>
        </w:tc>
      </w:tr>
      <w:tr w14:paraId="001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52CA235">
            <w:pPr>
              <w:overflowPunct w:val="0"/>
              <w:spacing w:line="43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7710" w:type="dxa"/>
            <w:noWrap w:val="0"/>
            <w:vAlign w:val="center"/>
          </w:tcPr>
          <w:p w14:paraId="75AD42BC">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诚信投标承诺书</w:t>
            </w:r>
          </w:p>
        </w:tc>
        <w:tc>
          <w:tcPr>
            <w:tcW w:w="1256" w:type="dxa"/>
            <w:vMerge w:val="continue"/>
            <w:noWrap w:val="0"/>
            <w:vAlign w:val="center"/>
          </w:tcPr>
          <w:p w14:paraId="1AE2E17B">
            <w:pPr>
              <w:spacing w:line="400" w:lineRule="exact"/>
              <w:jc w:val="center"/>
              <w:rPr>
                <w:rFonts w:hint="eastAsia" w:ascii="宋体" w:hAnsi="宋体" w:eastAsia="宋体" w:cs="宋体"/>
                <w:color w:val="auto"/>
                <w:sz w:val="22"/>
                <w:szCs w:val="22"/>
                <w:highlight w:val="none"/>
              </w:rPr>
            </w:pPr>
          </w:p>
        </w:tc>
      </w:tr>
      <w:tr w14:paraId="0320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3EB3162E">
            <w:pPr>
              <w:overflowPunct w:val="0"/>
              <w:spacing w:line="43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7710" w:type="dxa"/>
            <w:shd w:val="clear" w:color="auto" w:fill="auto"/>
            <w:noWrap w:val="0"/>
            <w:vAlign w:val="center"/>
          </w:tcPr>
          <w:p w14:paraId="71EB2EF5">
            <w:pP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投标人“信用中国”(www.creditchina.gov.cn)；“中国政府采购网”（http://www.ccgp.gov.cn/）信用记录 网页截图（采购公告发布之日至投标截止时间前）；</w:t>
            </w:r>
          </w:p>
        </w:tc>
        <w:tc>
          <w:tcPr>
            <w:tcW w:w="1256" w:type="dxa"/>
            <w:noWrap w:val="0"/>
            <w:vAlign w:val="center"/>
          </w:tcPr>
          <w:p w14:paraId="3C5F3B9D">
            <w:pPr>
              <w:spacing w:line="400" w:lineRule="exact"/>
              <w:jc w:val="center"/>
              <w:rPr>
                <w:rFonts w:hint="eastAsia" w:ascii="宋体" w:hAnsi="宋体" w:eastAsia="宋体" w:cs="宋体"/>
                <w:color w:val="auto"/>
                <w:sz w:val="22"/>
                <w:szCs w:val="22"/>
                <w:highlight w:val="none"/>
              </w:rPr>
            </w:pPr>
          </w:p>
        </w:tc>
      </w:tr>
      <w:tr w14:paraId="66B9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08905809">
            <w:pPr>
              <w:overflowPunct w:val="0"/>
              <w:spacing w:line="430" w:lineRule="exact"/>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7710" w:type="dxa"/>
            <w:shd w:val="clear" w:color="auto" w:fill="auto"/>
            <w:noWrap w:val="0"/>
            <w:vAlign w:val="center"/>
          </w:tcPr>
          <w:p w14:paraId="595AAB94">
            <w:pP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投标人认为其他需要提交的资料</w:t>
            </w:r>
          </w:p>
        </w:tc>
        <w:tc>
          <w:tcPr>
            <w:tcW w:w="1256" w:type="dxa"/>
            <w:noWrap w:val="0"/>
            <w:vAlign w:val="center"/>
          </w:tcPr>
          <w:p w14:paraId="428550D8">
            <w:pPr>
              <w:spacing w:line="400" w:lineRule="exact"/>
              <w:jc w:val="center"/>
              <w:rPr>
                <w:rFonts w:hint="eastAsia" w:ascii="宋体" w:hAnsi="宋体" w:eastAsia="宋体" w:cs="宋体"/>
                <w:color w:val="auto"/>
                <w:sz w:val="22"/>
                <w:szCs w:val="22"/>
                <w:highlight w:val="none"/>
              </w:rPr>
            </w:pPr>
          </w:p>
        </w:tc>
      </w:tr>
    </w:tbl>
    <w:p w14:paraId="3D5C770A">
      <w:pPr>
        <w:spacing w:line="430" w:lineRule="exact"/>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（2） 报价文件</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695"/>
        <w:gridCol w:w="1271"/>
      </w:tblGrid>
      <w:tr w14:paraId="660B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0084CB6D">
            <w:pPr>
              <w:spacing w:line="43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7695" w:type="dxa"/>
            <w:noWrap w:val="0"/>
            <w:vAlign w:val="center"/>
          </w:tcPr>
          <w:p w14:paraId="52DA7E5A">
            <w:pPr>
              <w:spacing w:line="43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内容</w:t>
            </w:r>
          </w:p>
        </w:tc>
        <w:tc>
          <w:tcPr>
            <w:tcW w:w="1271" w:type="dxa"/>
            <w:noWrap w:val="0"/>
            <w:vAlign w:val="center"/>
          </w:tcPr>
          <w:p w14:paraId="1D0DA37F">
            <w:pPr>
              <w:spacing w:line="43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00F1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7A646C8E">
            <w:pPr>
              <w:overflowPunct w:val="0"/>
              <w:spacing w:line="430" w:lineRule="exact"/>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1</w:t>
            </w:r>
          </w:p>
        </w:tc>
        <w:tc>
          <w:tcPr>
            <w:tcW w:w="7695" w:type="dxa"/>
            <w:noWrap w:val="0"/>
            <w:vAlign w:val="center"/>
          </w:tcPr>
          <w:p w14:paraId="7E4D6893">
            <w:pPr>
              <w:spacing w:line="43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开标一览表</w:t>
            </w:r>
          </w:p>
        </w:tc>
        <w:tc>
          <w:tcPr>
            <w:tcW w:w="1271" w:type="dxa"/>
            <w:vMerge w:val="restart"/>
            <w:noWrap w:val="0"/>
            <w:vAlign w:val="center"/>
          </w:tcPr>
          <w:p w14:paraId="51153398">
            <w:pPr>
              <w:spacing w:line="43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附件二</w:t>
            </w:r>
          </w:p>
        </w:tc>
      </w:tr>
      <w:tr w14:paraId="2B08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362AC723">
            <w:pPr>
              <w:overflowPunct w:val="0"/>
              <w:spacing w:line="430" w:lineRule="exact"/>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2</w:t>
            </w:r>
          </w:p>
        </w:tc>
        <w:tc>
          <w:tcPr>
            <w:tcW w:w="7695" w:type="dxa"/>
            <w:noWrap w:val="0"/>
            <w:vAlign w:val="center"/>
          </w:tcPr>
          <w:p w14:paraId="5B06D43E">
            <w:pPr>
              <w:spacing w:line="430" w:lineRule="exac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分项报价表</w:t>
            </w:r>
          </w:p>
        </w:tc>
        <w:tc>
          <w:tcPr>
            <w:tcW w:w="1271" w:type="dxa"/>
            <w:vMerge w:val="continue"/>
            <w:noWrap w:val="0"/>
            <w:vAlign w:val="center"/>
          </w:tcPr>
          <w:p w14:paraId="0A4430D8">
            <w:pPr>
              <w:spacing w:line="430" w:lineRule="exact"/>
              <w:jc w:val="center"/>
              <w:rPr>
                <w:rFonts w:hint="eastAsia" w:ascii="宋体" w:hAnsi="宋体" w:eastAsia="宋体" w:cs="宋体"/>
                <w:color w:val="auto"/>
                <w:kern w:val="0"/>
                <w:sz w:val="22"/>
                <w:szCs w:val="22"/>
                <w:highlight w:val="none"/>
              </w:rPr>
            </w:pPr>
          </w:p>
        </w:tc>
      </w:tr>
    </w:tbl>
    <w:p w14:paraId="48E2B1A3">
      <w:pPr>
        <w:spacing w:line="430" w:lineRule="exact"/>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（3）商务技术文件</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15"/>
        <w:gridCol w:w="1242"/>
      </w:tblGrid>
      <w:tr w14:paraId="48ED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097151D3">
            <w:pPr>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061F2A31">
            <w:pPr>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98A3B00">
            <w:pPr>
              <w:spacing w:line="43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489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5DAC8E7A">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1F3E521C">
            <w:pPr>
              <w:spacing w:line="43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940BA23">
            <w:pPr>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附件三</w:t>
            </w:r>
          </w:p>
        </w:tc>
      </w:tr>
      <w:tr w14:paraId="225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1E0F54E4">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1C0838F4">
            <w:pPr>
              <w:spacing w:line="43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技术规格、商务条款偏离表</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0C53DC3">
            <w:pPr>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附件四</w:t>
            </w:r>
          </w:p>
        </w:tc>
      </w:tr>
      <w:tr w14:paraId="667D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30ABFC2B">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0B35DB51">
            <w:pPr>
              <w:spacing w:line="43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车辆参数配置响应表</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710C6948">
            <w:pPr>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附件五</w:t>
            </w:r>
          </w:p>
        </w:tc>
      </w:tr>
      <w:tr w14:paraId="1CB3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402D0A43">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42A50CBD">
            <w:pPr>
              <w:spacing w:line="43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资信证明文件（本部分为技术资信评分内容，投标人根据自身实际情况提供）</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2AE4988">
            <w:pPr>
              <w:spacing w:line="430" w:lineRule="exact"/>
              <w:jc w:val="center"/>
              <w:rPr>
                <w:rFonts w:hint="eastAsia" w:ascii="宋体" w:hAnsi="宋体" w:eastAsia="宋体" w:cs="宋体"/>
                <w:color w:val="auto"/>
                <w:sz w:val="22"/>
                <w:szCs w:val="22"/>
                <w:highlight w:val="none"/>
              </w:rPr>
            </w:pPr>
          </w:p>
        </w:tc>
      </w:tr>
      <w:tr w14:paraId="25DC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3CFDCF9E">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w:t>
            </w:r>
          </w:p>
        </w:tc>
        <w:tc>
          <w:tcPr>
            <w:tcW w:w="7715" w:type="dxa"/>
            <w:tcBorders>
              <w:top w:val="single" w:color="auto" w:sz="4" w:space="0"/>
              <w:left w:val="single" w:color="auto" w:sz="4" w:space="0"/>
              <w:bottom w:val="single" w:color="auto" w:sz="4" w:space="0"/>
              <w:right w:val="single" w:color="auto" w:sz="4" w:space="0"/>
            </w:tcBorders>
            <w:noWrap w:val="0"/>
            <w:vAlign w:val="top"/>
          </w:tcPr>
          <w:p w14:paraId="2D8B0502">
            <w:pPr>
              <w:spacing w:line="460" w:lineRule="exact"/>
              <w:rPr>
                <w:rFonts w:hint="eastAsia" w:ascii="宋体" w:hAnsi="宋体" w:eastAsia="宋体" w:cs="宋体"/>
                <w:color w:val="auto"/>
                <w:sz w:val="22"/>
                <w:szCs w:val="22"/>
                <w:highlight w:val="none"/>
              </w:rPr>
            </w:pPr>
            <w:r>
              <w:rPr>
                <w:rFonts w:hint="eastAsia" w:ascii="宋体" w:hAnsi="宋体" w:eastAsia="宋体" w:cs="Times New Roman"/>
                <w:b/>
                <w:color w:val="auto"/>
                <w:sz w:val="22"/>
                <w:szCs w:val="22"/>
                <w:highlight w:val="none"/>
                <w:u w:val="single"/>
              </w:rPr>
              <w:t>针对本次项目采购需求提出的详细方案（包括但不限于技术资信分评分细则要求的各个方案）</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7E8269E">
            <w:pPr>
              <w:spacing w:line="430" w:lineRule="exact"/>
              <w:jc w:val="center"/>
              <w:rPr>
                <w:rFonts w:hint="eastAsia" w:ascii="宋体" w:hAnsi="宋体" w:eastAsia="宋体" w:cs="宋体"/>
                <w:color w:val="auto"/>
                <w:sz w:val="22"/>
                <w:szCs w:val="22"/>
                <w:highlight w:val="none"/>
              </w:rPr>
            </w:pPr>
          </w:p>
        </w:tc>
      </w:tr>
      <w:tr w14:paraId="180E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7C74F2DD">
            <w:pPr>
              <w:overflowPunct w:val="0"/>
              <w:spacing w:line="43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51AEF0BC">
            <w:pPr>
              <w:spacing w:line="43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结合采购文件评分细则投标人认为需要提供的其他技术资料</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787B3FB">
            <w:pPr>
              <w:spacing w:line="430" w:lineRule="exact"/>
              <w:jc w:val="center"/>
              <w:rPr>
                <w:rFonts w:hint="eastAsia" w:ascii="宋体" w:hAnsi="宋体" w:eastAsia="宋体" w:cs="宋体"/>
                <w:color w:val="auto"/>
                <w:sz w:val="22"/>
                <w:szCs w:val="22"/>
                <w:highlight w:val="none"/>
              </w:rPr>
            </w:pPr>
          </w:p>
        </w:tc>
      </w:tr>
    </w:tbl>
    <w:p w14:paraId="5CC901A2">
      <w:pPr>
        <w:spacing w:line="440" w:lineRule="exact"/>
        <w:rPr>
          <w:rFonts w:hint="eastAsia" w:ascii="宋体" w:hAnsi="宋体" w:cs="hakuyoxingshu7000"/>
          <w:b/>
          <w:color w:val="auto"/>
          <w:kern w:val="0"/>
          <w:sz w:val="22"/>
          <w:szCs w:val="22"/>
          <w:highlight w:val="none"/>
        </w:rPr>
      </w:pPr>
      <w:r>
        <w:rPr>
          <w:rFonts w:hint="eastAsia" w:ascii="宋体" w:hAnsi="宋体" w:cs="hakuyoxingshu7000"/>
          <w:b/>
          <w:color w:val="auto"/>
          <w:kern w:val="0"/>
          <w:sz w:val="22"/>
          <w:szCs w:val="22"/>
          <w:highlight w:val="none"/>
        </w:rPr>
        <w:t>（4） 电子投标文件</w:t>
      </w:r>
    </w:p>
    <w:p w14:paraId="7A9658AC">
      <w:pPr>
        <w:tabs>
          <w:tab w:val="left" w:pos="540"/>
        </w:tabs>
        <w:spacing w:line="440" w:lineRule="exact"/>
        <w:ind w:left="425"/>
        <w:rPr>
          <w:rFonts w:hint="eastAsia" w:ascii="宋体" w:hAnsi="宋体" w:cs="宋体"/>
          <w:b/>
          <w:color w:val="auto"/>
          <w:sz w:val="22"/>
          <w:szCs w:val="22"/>
          <w:highlight w:val="none"/>
        </w:rPr>
      </w:pPr>
      <w:r>
        <w:rPr>
          <w:rFonts w:hint="eastAsia" w:ascii="宋体" w:hAnsi="宋体"/>
          <w:b/>
          <w:color w:val="auto"/>
          <w:sz w:val="22"/>
          <w:szCs w:val="22"/>
          <w:highlight w:val="none"/>
          <w:u w:val="single"/>
        </w:rPr>
        <w:t>电子投标文件为资格文件、商务技术文件、报价文件等三部分完整投标文件签字盖章后的PDF格式扫描文件。投标人需准备U盘</w:t>
      </w:r>
      <w:r>
        <w:rPr>
          <w:rFonts w:ascii="宋体" w:hAnsi="宋体"/>
          <w:b/>
          <w:color w:val="auto"/>
          <w:sz w:val="22"/>
          <w:szCs w:val="22"/>
          <w:highlight w:val="none"/>
          <w:u w:val="single"/>
        </w:rPr>
        <w:t>一</w:t>
      </w:r>
      <w:r>
        <w:rPr>
          <w:rFonts w:hint="eastAsia" w:ascii="宋体" w:hAnsi="宋体"/>
          <w:b/>
          <w:color w:val="auto"/>
          <w:sz w:val="22"/>
          <w:szCs w:val="22"/>
          <w:highlight w:val="none"/>
          <w:u w:val="single"/>
        </w:rPr>
        <w:t>份。电子投标文件密封于“报价文件”密封袋内。</w:t>
      </w:r>
    </w:p>
    <w:p w14:paraId="5E38D3F1">
      <w:pPr>
        <w:spacing w:line="440" w:lineRule="exact"/>
        <w:ind w:left="187" w:leftChars="85" w:hanging="9" w:hangingChars="4"/>
        <w:rPr>
          <w:rFonts w:hint="eastAsia" w:ascii="宋体" w:hAnsi="宋体" w:cs="宋体"/>
          <w:bCs/>
          <w:color w:val="auto"/>
          <w:sz w:val="22"/>
          <w:szCs w:val="22"/>
          <w:highlight w:val="none"/>
        </w:rPr>
      </w:pPr>
      <w:r>
        <w:rPr>
          <w:rFonts w:hint="eastAsia" w:ascii="宋体" w:hAnsi="宋体" w:cs="宋体"/>
          <w:b/>
          <w:color w:val="auto"/>
          <w:sz w:val="22"/>
          <w:szCs w:val="22"/>
          <w:highlight w:val="none"/>
        </w:rPr>
        <w:t>说明：</w:t>
      </w:r>
    </w:p>
    <w:p w14:paraId="43C0ED0C">
      <w:pPr>
        <w:numPr>
          <w:ilvl w:val="0"/>
          <w:numId w:val="10"/>
        </w:numPr>
        <w:tabs>
          <w:tab w:val="left" w:pos="5355"/>
        </w:tabs>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投标人可根据采购文件中的技术规格书以及技术资信评分表，提供投标人认为需要提供的文件和资料。</w:t>
      </w:r>
    </w:p>
    <w:p w14:paraId="677F9C53">
      <w:pPr>
        <w:numPr>
          <w:ilvl w:val="0"/>
          <w:numId w:val="10"/>
        </w:numPr>
        <w:tabs>
          <w:tab w:val="left" w:pos="5355"/>
        </w:tabs>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003F461D">
      <w:pPr>
        <w:numPr>
          <w:ilvl w:val="1"/>
          <w:numId w:val="9"/>
        </w:numPr>
        <w:tabs>
          <w:tab w:val="left" w:pos="360"/>
          <w:tab w:val="left" w:pos="1135"/>
          <w:tab w:val="clear" w:pos="992"/>
        </w:tabs>
        <w:spacing w:line="440" w:lineRule="exact"/>
        <w:ind w:left="360" w:hanging="360"/>
        <w:rPr>
          <w:rFonts w:hint="eastAsia" w:ascii="宋体" w:hAnsi="宋体" w:cs="宋体"/>
          <w:b/>
          <w:color w:val="auto"/>
          <w:sz w:val="22"/>
          <w:szCs w:val="22"/>
          <w:highlight w:val="none"/>
        </w:rPr>
      </w:pPr>
      <w:r>
        <w:rPr>
          <w:rFonts w:hint="eastAsia" w:ascii="宋体" w:hAnsi="宋体" w:cs="宋体"/>
          <w:b/>
          <w:color w:val="auto"/>
          <w:sz w:val="22"/>
          <w:szCs w:val="22"/>
          <w:highlight w:val="none"/>
        </w:rPr>
        <w:t>投标文件形式</w:t>
      </w:r>
    </w:p>
    <w:p w14:paraId="72C55F69">
      <w:pPr>
        <w:numPr>
          <w:ilvl w:val="0"/>
          <w:numId w:val="11"/>
        </w:numPr>
        <w:tabs>
          <w:tab w:val="left" w:pos="900"/>
          <w:tab w:val="clear" w:pos="530"/>
        </w:tabs>
        <w:spacing w:line="440" w:lineRule="exact"/>
        <w:ind w:left="90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投标人应根据采购文件中所提供的格式，内容按顺序填写并装订成册；</w:t>
      </w:r>
    </w:p>
    <w:p w14:paraId="181EABB9">
      <w:pPr>
        <w:numPr>
          <w:ilvl w:val="0"/>
          <w:numId w:val="11"/>
        </w:numPr>
        <w:tabs>
          <w:tab w:val="left" w:pos="900"/>
          <w:tab w:val="clear" w:pos="530"/>
        </w:tabs>
        <w:spacing w:line="440" w:lineRule="exact"/>
        <w:ind w:left="90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资格文件、商务技术文件与报价文件分别包装于各自不透明的标函袋中，标函袋不做统一要求。</w:t>
      </w:r>
    </w:p>
    <w:p w14:paraId="22470CDC">
      <w:pPr>
        <w:numPr>
          <w:ilvl w:val="0"/>
          <w:numId w:val="11"/>
        </w:numPr>
        <w:tabs>
          <w:tab w:val="left" w:pos="900"/>
          <w:tab w:val="clear" w:pos="530"/>
        </w:tabs>
        <w:spacing w:line="440" w:lineRule="exact"/>
        <w:ind w:left="90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投标文件应有目录以及页码，以便评委检索；</w:t>
      </w:r>
    </w:p>
    <w:p w14:paraId="53DC3A88">
      <w:pPr>
        <w:numPr>
          <w:ilvl w:val="0"/>
          <w:numId w:val="8"/>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投标报价</w:t>
      </w:r>
    </w:p>
    <w:p w14:paraId="6B3B2888">
      <w:pPr>
        <w:spacing w:line="440" w:lineRule="exact"/>
        <w:ind w:left="663" w:hanging="663" w:hangingChars="30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rPr>
        <w:t>4.1  ▲</w:t>
      </w:r>
      <w:r>
        <w:rPr>
          <w:rFonts w:hint="eastAsia" w:ascii="新宋体" w:eastAsia="新宋体"/>
          <w:b/>
          <w:bCs/>
          <w:color w:val="auto"/>
          <w:sz w:val="22"/>
          <w:szCs w:val="22"/>
          <w:highlight w:val="none"/>
          <w:u w:val="single"/>
        </w:rPr>
        <w:t>投标报价是指投标人为正确地完全履行采购内容及要求的价格体现，</w:t>
      </w:r>
      <w:r>
        <w:rPr>
          <w:rFonts w:hint="eastAsia" w:ascii="宋体" w:hAnsi="宋体" w:cs="宋体"/>
          <w:b/>
          <w:color w:val="auto"/>
          <w:sz w:val="22"/>
          <w:highlight w:val="none"/>
          <w:u w:val="single"/>
        </w:rPr>
        <w:t>包括所有人员组织、技术服务、技术服务人员工资、奖金、社保金（失业、养老、医保等）、企业利润、税金、采购代理服务费、</w:t>
      </w:r>
      <w:r>
        <w:rPr>
          <w:rFonts w:hint="eastAsia" w:ascii="宋体" w:hAnsi="宋体" w:cs="宋体"/>
          <w:b/>
          <w:color w:val="auto"/>
          <w:sz w:val="22"/>
          <w:highlight w:val="none"/>
          <w:u w:val="single"/>
          <w:lang w:val="en-US" w:eastAsia="zh-CN"/>
        </w:rPr>
        <w:t>乐</w:t>
      </w:r>
      <w:r>
        <w:rPr>
          <w:rFonts w:hint="eastAsia" w:ascii="新宋体" w:eastAsia="新宋体"/>
          <w:b/>
          <w:bCs/>
          <w:color w:val="auto"/>
          <w:sz w:val="22"/>
          <w:szCs w:val="22"/>
          <w:highlight w:val="none"/>
          <w:u w:val="single"/>
        </w:rPr>
        <w:t>采云平台技术服务费等完成合同所需的一切本身和不可或缺的所有工作开支、政策性文件规定及合同包含的所有风险、责任等各项全部费用</w:t>
      </w:r>
      <w:r>
        <w:rPr>
          <w:rFonts w:hint="eastAsia" w:ascii="宋体" w:hAnsi="宋体" w:cs="宋体"/>
          <w:b/>
          <w:bCs/>
          <w:color w:val="auto"/>
          <w:sz w:val="22"/>
          <w:szCs w:val="22"/>
          <w:highlight w:val="none"/>
          <w:u w:val="single"/>
        </w:rPr>
        <w:t>。</w:t>
      </w:r>
    </w:p>
    <w:p w14:paraId="11D33A60">
      <w:pPr>
        <w:tabs>
          <w:tab w:val="left" w:pos="540"/>
        </w:tabs>
        <w:spacing w:line="440" w:lineRule="exact"/>
        <w:ind w:left="663" w:hanging="663" w:hangingChars="30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4.2   </w:t>
      </w:r>
      <w:r>
        <w:rPr>
          <w:rFonts w:hint="eastAsia" w:ascii="宋体" w:hAnsi="宋体" w:cs="宋体"/>
          <w:color w:val="auto"/>
          <w:sz w:val="22"/>
          <w:szCs w:val="22"/>
          <w:highlight w:val="none"/>
        </w:rPr>
        <w:t>投标人必须按第三部分附件的投标报价一览表（统一格式）的内容填写投标报价及其他事项，并由法定代表人或授权代表签署。</w:t>
      </w:r>
    </w:p>
    <w:p w14:paraId="5E1541C4">
      <w:pPr>
        <w:tabs>
          <w:tab w:val="left" w:pos="540"/>
        </w:tabs>
        <w:spacing w:line="440" w:lineRule="exact"/>
        <w:ind w:left="663" w:hanging="663" w:hangingChars="30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4.3   </w:t>
      </w:r>
      <w:r>
        <w:rPr>
          <w:rFonts w:hint="eastAsia" w:ascii="宋体" w:hAnsi="宋体" w:cs="宋体"/>
          <w:color w:val="auto"/>
          <w:sz w:val="22"/>
          <w:szCs w:val="22"/>
          <w:highlight w:val="none"/>
        </w:rPr>
        <w:t>所有投标均以人民币报价。</w:t>
      </w:r>
    </w:p>
    <w:p w14:paraId="6E45DA2C">
      <w:pPr>
        <w:tabs>
          <w:tab w:val="left" w:pos="540"/>
        </w:tabs>
        <w:spacing w:line="440" w:lineRule="exact"/>
        <w:ind w:left="663" w:hanging="663" w:hangingChars="300"/>
        <w:rPr>
          <w:rFonts w:hint="eastAsia" w:ascii="宋体" w:hAnsi="宋体" w:cs="宋体"/>
          <w:b/>
          <w:color w:val="auto"/>
          <w:sz w:val="22"/>
          <w:szCs w:val="22"/>
          <w:highlight w:val="none"/>
          <w:u w:val="single"/>
        </w:rPr>
      </w:pPr>
      <w:r>
        <w:rPr>
          <w:rFonts w:hint="eastAsia" w:ascii="宋体" w:hAnsi="宋体" w:cs="宋体"/>
          <w:b/>
          <w:bCs/>
          <w:color w:val="auto"/>
          <w:sz w:val="22"/>
          <w:szCs w:val="22"/>
          <w:highlight w:val="none"/>
        </w:rPr>
        <w:t>4.4   ▲</w:t>
      </w:r>
      <w:r>
        <w:rPr>
          <w:rFonts w:hint="eastAsia" w:ascii="宋体" w:hAnsi="宋体" w:cs="宋体"/>
          <w:b/>
          <w:color w:val="auto"/>
          <w:sz w:val="22"/>
          <w:szCs w:val="22"/>
          <w:highlight w:val="none"/>
          <w:u w:val="single"/>
        </w:rPr>
        <w:t>采购人不接受任何选择报价，只允许一个报价。</w:t>
      </w:r>
    </w:p>
    <w:p w14:paraId="2803097D">
      <w:pPr>
        <w:tabs>
          <w:tab w:val="left" w:pos="540"/>
        </w:tabs>
        <w:spacing w:line="440" w:lineRule="exact"/>
        <w:ind w:left="663" w:hanging="663" w:hangingChars="30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rPr>
        <w:t xml:space="preserve">4.5  </w:t>
      </w:r>
      <w:r>
        <w:rPr>
          <w:rFonts w:hint="eastAsia" w:ascii="宋体" w:hAnsi="宋体" w:cs="宋体"/>
          <w:b/>
          <w:color w:val="auto"/>
          <w:sz w:val="22"/>
          <w:szCs w:val="22"/>
          <w:highlight w:val="none"/>
        </w:rPr>
        <w:t>最低报价不能作为中标的保证。</w:t>
      </w:r>
    </w:p>
    <w:p w14:paraId="23D388EE">
      <w:pPr>
        <w:numPr>
          <w:ilvl w:val="0"/>
          <w:numId w:val="8"/>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投标保证金</w:t>
      </w:r>
    </w:p>
    <w:p w14:paraId="247822D1">
      <w:pPr>
        <w:tabs>
          <w:tab w:val="left" w:pos="540"/>
        </w:tabs>
        <w:spacing w:line="440" w:lineRule="exact"/>
        <w:ind w:firstLine="660" w:firstLineChars="300"/>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本项目无需提交投标保证金。</w:t>
      </w:r>
    </w:p>
    <w:p w14:paraId="297FA74C">
      <w:pPr>
        <w:numPr>
          <w:ilvl w:val="0"/>
          <w:numId w:val="8"/>
        </w:numPr>
        <w:tabs>
          <w:tab w:val="left" w:pos="540"/>
          <w:tab w:val="clear" w:pos="420"/>
        </w:tabs>
        <w:spacing w:line="440" w:lineRule="exact"/>
        <w:ind w:left="540" w:hanging="540"/>
        <w:rPr>
          <w:rFonts w:hint="eastAsia" w:ascii="宋体" w:hAnsi="宋体" w:cs="宋体"/>
          <w:b/>
          <w:color w:val="auto"/>
          <w:sz w:val="22"/>
          <w:szCs w:val="22"/>
          <w:highlight w:val="none"/>
        </w:rPr>
      </w:pPr>
      <w:r>
        <w:rPr>
          <w:rFonts w:hint="eastAsia" w:ascii="宋体" w:hAnsi="宋体" w:cs="宋体"/>
          <w:bCs/>
          <w:color w:val="auto"/>
          <w:sz w:val="22"/>
          <w:szCs w:val="22"/>
          <w:highlight w:val="none"/>
        </w:rPr>
        <w:t>投标有效期</w:t>
      </w:r>
    </w:p>
    <w:p w14:paraId="633615F5">
      <w:pPr>
        <w:numPr>
          <w:ilvl w:val="1"/>
          <w:numId w:val="12"/>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b/>
          <w:color w:val="auto"/>
          <w:sz w:val="22"/>
          <w:szCs w:val="22"/>
          <w:highlight w:val="none"/>
        </w:rPr>
        <w:t>自开标之日起</w:t>
      </w:r>
      <w:r>
        <w:rPr>
          <w:rFonts w:hint="eastAsia" w:ascii="宋体" w:hAnsi="宋体" w:cs="宋体"/>
          <w:b/>
          <w:color w:val="auto"/>
          <w:sz w:val="22"/>
          <w:szCs w:val="22"/>
          <w:highlight w:val="none"/>
          <w:u w:val="single"/>
        </w:rPr>
        <w:t xml:space="preserve"> 90</w:t>
      </w:r>
      <w:r>
        <w:rPr>
          <w:rFonts w:hint="eastAsia" w:ascii="宋体" w:hAnsi="宋体" w:cs="宋体"/>
          <w:b/>
          <w:color w:val="auto"/>
          <w:sz w:val="22"/>
          <w:szCs w:val="22"/>
          <w:highlight w:val="none"/>
        </w:rPr>
        <w:t>天内投标应保持有效。投标有效期短于这个规定期限的投标将视为非响应性投标而予以拒绝。</w:t>
      </w:r>
    </w:p>
    <w:p w14:paraId="073A437C">
      <w:pPr>
        <w:numPr>
          <w:ilvl w:val="1"/>
          <w:numId w:val="12"/>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特殊情况下，在原投标有效期截止前，采购人可与投标人协商延长投标有效期，这种要求和答复均以书面形式进行。投标人可拒绝接受延期要求。同意延长投标有效期的投标人不得修改投标文件。</w:t>
      </w:r>
    </w:p>
    <w:p w14:paraId="3C3EA7EF">
      <w:pPr>
        <w:numPr>
          <w:ilvl w:val="0"/>
          <w:numId w:val="8"/>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投标文件的签署和规定</w:t>
      </w:r>
    </w:p>
    <w:p w14:paraId="75E119B1">
      <w:pPr>
        <w:numPr>
          <w:ilvl w:val="1"/>
          <w:numId w:val="13"/>
        </w:numPr>
        <w:tabs>
          <w:tab w:val="left" w:pos="540"/>
          <w:tab w:val="clear" w:pos="992"/>
        </w:tabs>
        <w:spacing w:line="440" w:lineRule="exact"/>
        <w:ind w:left="540" w:hanging="540"/>
        <w:rPr>
          <w:rFonts w:hint="eastAsia" w:ascii="宋体" w:hAnsi="宋体" w:cs="宋体"/>
          <w:color w:val="auto"/>
          <w:sz w:val="22"/>
          <w:szCs w:val="22"/>
          <w:highlight w:val="none"/>
          <w:u w:val="single"/>
        </w:rPr>
      </w:pPr>
      <w:r>
        <w:rPr>
          <w:rFonts w:hint="eastAsia" w:ascii="宋体" w:hAnsi="宋体" w:cs="宋体"/>
          <w:b/>
          <w:color w:val="auto"/>
          <w:sz w:val="22"/>
          <w:szCs w:val="22"/>
          <w:highlight w:val="none"/>
          <w:u w:val="single"/>
        </w:rPr>
        <w:t>投标人应提供投标文件资格文件、商务技术文件、报价文件各一式</w:t>
      </w:r>
      <w:r>
        <w:rPr>
          <w:rFonts w:hint="eastAsia" w:ascii="宋体" w:hAnsi="宋体" w:cs="宋体"/>
          <w:b/>
          <w:color w:val="auto"/>
          <w:sz w:val="22"/>
          <w:szCs w:val="22"/>
          <w:highlight w:val="none"/>
          <w:u w:val="single"/>
          <w:lang w:val="en-US" w:eastAsia="zh-CN"/>
        </w:rPr>
        <w:t>五</w:t>
      </w:r>
      <w:r>
        <w:rPr>
          <w:rFonts w:hint="eastAsia" w:ascii="宋体" w:hAnsi="宋体" w:cs="宋体"/>
          <w:b/>
          <w:color w:val="auto"/>
          <w:sz w:val="22"/>
          <w:szCs w:val="22"/>
          <w:highlight w:val="none"/>
          <w:u w:val="single"/>
        </w:rPr>
        <w:t>份的投标文件，分别装订成册，且单独密封装订（正本与副本允许合并密封）。其中纸质投标文件正本一份、副本</w:t>
      </w:r>
      <w:r>
        <w:rPr>
          <w:rFonts w:hint="eastAsia" w:ascii="宋体" w:hAnsi="宋体" w:cs="宋体"/>
          <w:b/>
          <w:color w:val="auto"/>
          <w:sz w:val="22"/>
          <w:szCs w:val="22"/>
          <w:highlight w:val="none"/>
          <w:u w:val="single"/>
          <w:lang w:val="en-US" w:eastAsia="zh-CN"/>
        </w:rPr>
        <w:t>四</w:t>
      </w:r>
      <w:r>
        <w:rPr>
          <w:rFonts w:hint="eastAsia" w:ascii="宋体" w:hAnsi="宋体" w:cs="宋体"/>
          <w:b/>
          <w:color w:val="auto"/>
          <w:sz w:val="22"/>
          <w:szCs w:val="22"/>
          <w:highlight w:val="none"/>
          <w:u w:val="single"/>
        </w:rPr>
        <w:t>份，共</w:t>
      </w:r>
      <w:r>
        <w:rPr>
          <w:rFonts w:hint="eastAsia" w:ascii="宋体" w:hAnsi="宋体" w:cs="宋体"/>
          <w:b/>
          <w:color w:val="auto"/>
          <w:sz w:val="22"/>
          <w:szCs w:val="22"/>
          <w:highlight w:val="none"/>
          <w:u w:val="single"/>
          <w:lang w:val="en-US" w:eastAsia="zh-CN"/>
        </w:rPr>
        <w:t>五</w:t>
      </w:r>
      <w:r>
        <w:rPr>
          <w:rFonts w:hint="eastAsia" w:ascii="宋体" w:hAnsi="宋体" w:cs="宋体"/>
          <w:b/>
          <w:color w:val="auto"/>
          <w:sz w:val="22"/>
          <w:szCs w:val="22"/>
          <w:highlight w:val="none"/>
          <w:u w:val="single"/>
        </w:rPr>
        <w:t>份。</w:t>
      </w:r>
      <w:r>
        <w:rPr>
          <w:rFonts w:hint="eastAsia" w:ascii="宋体"/>
          <w:b/>
          <w:color w:val="auto"/>
          <w:sz w:val="22"/>
          <w:szCs w:val="22"/>
          <w:highlight w:val="none"/>
          <w:u w:val="single"/>
        </w:rPr>
        <w:t>电子投标文件U盘一份，共一份。</w:t>
      </w:r>
      <w:r>
        <w:rPr>
          <w:rFonts w:hint="eastAsia" w:ascii="宋体" w:hAnsi="宋体" w:cs="宋体"/>
          <w:b/>
          <w:color w:val="auto"/>
          <w:sz w:val="22"/>
          <w:szCs w:val="22"/>
          <w:highlight w:val="none"/>
          <w:u w:val="single"/>
        </w:rPr>
        <w:t>每套投标文件的封面应清楚标明“正本”或“副本”字样，若“正本”与“副本”不符，以“正本”为准。无论中标与否，投标文件均不退还，代理机构具有处置投标文件的一切权利。</w:t>
      </w:r>
    </w:p>
    <w:p w14:paraId="37EDF5D3">
      <w:pPr>
        <w:numPr>
          <w:ilvl w:val="1"/>
          <w:numId w:val="13"/>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投标文件的正本必须打印或用不褪色的墨水书写，并由法定代表人或其授权代表签署，副本可用正本的复印。</w:t>
      </w:r>
    </w:p>
    <w:p w14:paraId="07DCE69A">
      <w:pPr>
        <w:numPr>
          <w:ilvl w:val="1"/>
          <w:numId w:val="13"/>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b/>
          <w:color w:val="auto"/>
          <w:sz w:val="22"/>
          <w:szCs w:val="22"/>
          <w:highlight w:val="none"/>
        </w:rPr>
        <w:t>投标文件如有修改和增删必须由投标文件签字人在修改和增删处旁签署或盖章，方才有效。</w:t>
      </w:r>
    </w:p>
    <w:p w14:paraId="37F5BB50">
      <w:pPr>
        <w:numPr>
          <w:ilvl w:val="1"/>
          <w:numId w:val="13"/>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投标文件字迹模糊或在关键的技术、商务条款上表述不清楚，将可能导致其投标被拒绝。</w:t>
      </w:r>
    </w:p>
    <w:p w14:paraId="4B40FC3C">
      <w:pPr>
        <w:numPr>
          <w:ilvl w:val="0"/>
          <w:numId w:val="8"/>
        </w:numPr>
        <w:tabs>
          <w:tab w:val="left" w:pos="540"/>
          <w:tab w:val="clear" w:pos="420"/>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投标文件的密封及标记</w:t>
      </w:r>
    </w:p>
    <w:p w14:paraId="468A7563">
      <w:pPr>
        <w:numPr>
          <w:ilvl w:val="1"/>
          <w:numId w:val="14"/>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b/>
          <w:color w:val="auto"/>
          <w:sz w:val="22"/>
          <w:szCs w:val="22"/>
          <w:highlight w:val="none"/>
        </w:rPr>
        <w:t>投标人须将投标文件的“资格文件”、“商务技术文件”、“报价文件”单独密封，且在各自的密封袋上标明“资格文件”、“商务技术文件”、“报价文件”字样。</w:t>
      </w:r>
      <w:r>
        <w:rPr>
          <w:rFonts w:hint="eastAsia" w:ascii="宋体" w:hAnsi="宋体" w:cs="宋体"/>
          <w:color w:val="auto"/>
          <w:sz w:val="22"/>
          <w:szCs w:val="22"/>
          <w:highlight w:val="none"/>
        </w:rPr>
        <w:t>封口处贴上封条，启封处加盖投标单位公章。封皮上写明投标采购项目、采购编号，并注明“开标时启封”字样。</w:t>
      </w:r>
    </w:p>
    <w:p w14:paraId="0CC93532">
      <w:pPr>
        <w:numPr>
          <w:ilvl w:val="1"/>
          <w:numId w:val="14"/>
        </w:numPr>
        <w:tabs>
          <w:tab w:val="left" w:pos="540"/>
          <w:tab w:val="clear" w:pos="992"/>
        </w:tabs>
        <w:spacing w:line="440" w:lineRule="exact"/>
        <w:ind w:left="540" w:hanging="540"/>
        <w:rPr>
          <w:rFonts w:hint="eastAsia" w:ascii="宋体" w:hAnsi="宋体" w:cs="宋体"/>
          <w:color w:val="auto"/>
          <w:sz w:val="22"/>
          <w:szCs w:val="22"/>
          <w:highlight w:val="none"/>
          <w:u w:val="single"/>
        </w:rPr>
      </w:pPr>
      <w:r>
        <w:rPr>
          <w:rFonts w:hint="eastAsia" w:ascii="宋体" w:hAnsi="宋体" w:cs="宋体"/>
          <w:b/>
          <w:color w:val="auto"/>
          <w:sz w:val="22"/>
          <w:szCs w:val="22"/>
          <w:highlight w:val="none"/>
          <w:u w:val="single"/>
        </w:rPr>
        <w:t>如果投标人未按上述要求密封及加写标记，采购人对投标文件的误投和提前启封不负责任。</w:t>
      </w:r>
    </w:p>
    <w:p w14:paraId="3E0931A8">
      <w:pPr>
        <w:pStyle w:val="17"/>
        <w:ind w:firstLine="210"/>
        <w:rPr>
          <w:rFonts w:hint="eastAsia" w:ascii="宋体" w:hAnsi="宋体" w:cs="宋体"/>
          <w:color w:val="auto"/>
          <w:highlight w:val="none"/>
        </w:rPr>
      </w:pPr>
    </w:p>
    <w:p w14:paraId="3B06ABE9">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70" w:name="_Toc249758864"/>
      <w:bookmarkStart w:id="71" w:name="_Toc245191314"/>
      <w:bookmarkStart w:id="72" w:name="_Toc241404202"/>
      <w:bookmarkStart w:id="73" w:name="_Toc221356951"/>
      <w:bookmarkStart w:id="74" w:name="_Toc222114879"/>
      <w:bookmarkStart w:id="75" w:name="_Toc221374626"/>
      <w:bookmarkStart w:id="76" w:name="_Toc239145354"/>
      <w:bookmarkStart w:id="77" w:name="_Toc245722281"/>
      <w:bookmarkStart w:id="78" w:name="_Toc221356887"/>
      <w:bookmarkStart w:id="79" w:name="_Toc262105503"/>
      <w:bookmarkStart w:id="80" w:name="_Toc223715998"/>
      <w:bookmarkStart w:id="81" w:name="_Toc246261265"/>
      <w:bookmarkStart w:id="82" w:name="_Toc221423619"/>
      <w:bookmarkStart w:id="83" w:name="_Toc262049418"/>
      <w:bookmarkStart w:id="84" w:name="_Toc249758712"/>
      <w:r>
        <w:rPr>
          <w:rFonts w:hint="eastAsia" w:ascii="宋体" w:hAnsi="宋体" w:cs="宋体"/>
          <w:b/>
          <w:bCs/>
          <w:color w:val="auto"/>
          <w:sz w:val="26"/>
          <w:szCs w:val="26"/>
          <w:highlight w:val="none"/>
        </w:rPr>
        <w:t xml:space="preserve"> </w:t>
      </w:r>
      <w:bookmarkStart w:id="85" w:name="_Toc4932"/>
      <w:r>
        <w:rPr>
          <w:rFonts w:hint="eastAsia" w:ascii="宋体" w:hAnsi="宋体" w:cs="宋体"/>
          <w:b/>
          <w:bCs/>
          <w:color w:val="auto"/>
          <w:sz w:val="26"/>
          <w:szCs w:val="26"/>
          <w:highlight w:val="none"/>
        </w:rPr>
        <w:t>投标文件的递交</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E83BB88">
      <w:pPr>
        <w:numPr>
          <w:ilvl w:val="0"/>
          <w:numId w:val="15"/>
        </w:numPr>
        <w:tabs>
          <w:tab w:val="left" w:pos="540"/>
          <w:tab w:val="clear" w:pos="420"/>
        </w:tabs>
        <w:spacing w:line="440" w:lineRule="exact"/>
        <w:rPr>
          <w:rFonts w:hint="eastAsia" w:ascii="宋体" w:hAnsi="宋体" w:cs="宋体"/>
          <w:b/>
          <w:color w:val="auto"/>
          <w:sz w:val="22"/>
          <w:szCs w:val="22"/>
          <w:highlight w:val="none"/>
        </w:rPr>
      </w:pPr>
      <w:bookmarkStart w:id="86" w:name="_Toc221423620"/>
      <w:bookmarkStart w:id="87" w:name="_Toc249758865"/>
      <w:bookmarkStart w:id="88" w:name="_Toc241404203"/>
      <w:bookmarkStart w:id="89" w:name="_Toc221356952"/>
      <w:bookmarkStart w:id="90" w:name="_Toc245722282"/>
      <w:bookmarkStart w:id="91" w:name="_Toc223715999"/>
      <w:bookmarkStart w:id="92" w:name="_Toc221374627"/>
      <w:bookmarkStart w:id="93" w:name="_Toc221356888"/>
      <w:bookmarkStart w:id="94" w:name="_Toc262049419"/>
      <w:bookmarkStart w:id="95" w:name="_Toc262105504"/>
      <w:bookmarkStart w:id="96" w:name="_Toc249758713"/>
      <w:bookmarkStart w:id="97" w:name="_Toc222114880"/>
      <w:bookmarkStart w:id="98" w:name="_Toc246261266"/>
      <w:bookmarkStart w:id="99" w:name="_Toc245191315"/>
      <w:bookmarkStart w:id="100" w:name="_Toc239145355"/>
      <w:r>
        <w:rPr>
          <w:rFonts w:hint="eastAsia" w:ascii="宋体" w:hAnsi="宋体" w:cs="宋体"/>
          <w:bCs/>
          <w:color w:val="auto"/>
          <w:sz w:val="22"/>
          <w:szCs w:val="22"/>
          <w:highlight w:val="none"/>
        </w:rPr>
        <w:t>投标文件的递交</w:t>
      </w:r>
    </w:p>
    <w:p w14:paraId="164BFC2D">
      <w:pPr>
        <w:numPr>
          <w:ilvl w:val="1"/>
          <w:numId w:val="16"/>
        </w:numPr>
        <w:tabs>
          <w:tab w:val="left" w:pos="540"/>
          <w:tab w:val="clear" w:pos="992"/>
        </w:tabs>
        <w:spacing w:line="440" w:lineRule="exact"/>
        <w:ind w:left="540" w:hanging="540"/>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投标文件必须在规定的投标截止时间前送达到指定的收标地点</w:t>
      </w:r>
      <w:r>
        <w:rPr>
          <w:rFonts w:hint="eastAsia" w:ascii="宋体" w:hAnsi="宋体" w:cs="宋体"/>
          <w:b/>
          <w:color w:val="auto"/>
          <w:sz w:val="22"/>
          <w:szCs w:val="22"/>
          <w:highlight w:val="none"/>
        </w:rPr>
        <w:t>；</w:t>
      </w:r>
    </w:p>
    <w:p w14:paraId="3611AF15">
      <w:pPr>
        <w:numPr>
          <w:ilvl w:val="1"/>
          <w:numId w:val="16"/>
        </w:numPr>
        <w:tabs>
          <w:tab w:val="left" w:pos="540"/>
          <w:tab w:val="clear" w:pos="992"/>
        </w:tabs>
        <w:spacing w:line="440" w:lineRule="exact"/>
        <w:ind w:left="540" w:hanging="540"/>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投标人如是法定代表人或个体工商户经营者参加投标的，同时递交法定代表人有效身份证明（原件），由评标委员会确认投标资格</w:t>
      </w:r>
      <w:r>
        <w:rPr>
          <w:rFonts w:hint="eastAsia" w:ascii="宋体" w:hAnsi="宋体" w:cs="宋体"/>
          <w:b/>
          <w:color w:val="auto"/>
          <w:sz w:val="22"/>
          <w:szCs w:val="22"/>
          <w:highlight w:val="none"/>
        </w:rPr>
        <w:t>；</w:t>
      </w:r>
    </w:p>
    <w:p w14:paraId="00F87565">
      <w:pPr>
        <w:numPr>
          <w:ilvl w:val="1"/>
          <w:numId w:val="16"/>
        </w:numPr>
        <w:tabs>
          <w:tab w:val="left" w:pos="540"/>
          <w:tab w:val="clear" w:pos="992"/>
        </w:tabs>
        <w:spacing w:line="440" w:lineRule="exact"/>
        <w:ind w:left="540" w:hanging="540"/>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投标人如是授权代表参加投标的，同时递交法定代表人授权书（原件）、授权代表有效身份证明（原件），由评标委员会确认投标资格</w:t>
      </w:r>
      <w:r>
        <w:rPr>
          <w:rFonts w:hint="eastAsia" w:ascii="宋体" w:hAnsi="宋体" w:cs="宋体"/>
          <w:b/>
          <w:color w:val="auto"/>
          <w:sz w:val="22"/>
          <w:szCs w:val="22"/>
          <w:highlight w:val="none"/>
        </w:rPr>
        <w:t>。</w:t>
      </w:r>
    </w:p>
    <w:p w14:paraId="05CFBFE2">
      <w:pPr>
        <w:numPr>
          <w:ilvl w:val="1"/>
          <w:numId w:val="16"/>
        </w:numPr>
        <w:tabs>
          <w:tab w:val="left" w:pos="540"/>
          <w:tab w:val="clear" w:pos="992"/>
        </w:tabs>
        <w:spacing w:line="440" w:lineRule="exact"/>
        <w:ind w:left="540" w:hanging="540"/>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法定代表人授权书原件等如密封在投标文件商务技术文件中，在商务技术文件开启后经查验符合要求亦为有效。</w:t>
      </w:r>
    </w:p>
    <w:p w14:paraId="25A083A8">
      <w:pPr>
        <w:numPr>
          <w:ilvl w:val="0"/>
          <w:numId w:val="15"/>
        </w:numPr>
        <w:tabs>
          <w:tab w:val="left" w:pos="540"/>
          <w:tab w:val="clear" w:pos="420"/>
        </w:tabs>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投标文件的修改和撤回</w:t>
      </w:r>
    </w:p>
    <w:p w14:paraId="0D5A8A06">
      <w:pPr>
        <w:numPr>
          <w:ilvl w:val="1"/>
          <w:numId w:val="17"/>
        </w:numPr>
        <w:tabs>
          <w:tab w:val="left" w:pos="540"/>
          <w:tab w:val="clear" w:pos="992"/>
        </w:tabs>
        <w:spacing w:line="440" w:lineRule="exact"/>
        <w:ind w:left="540" w:hanging="540"/>
        <w:rPr>
          <w:rFonts w:hint="eastAsia" w:ascii="宋体" w:hAnsi="宋体" w:cs="宋体"/>
          <w:bCs/>
          <w:color w:val="auto"/>
          <w:sz w:val="22"/>
          <w:szCs w:val="22"/>
          <w:highlight w:val="none"/>
        </w:rPr>
      </w:pPr>
      <w:r>
        <w:rPr>
          <w:rFonts w:hint="eastAsia" w:ascii="宋体" w:hAnsi="宋体" w:cs="宋体"/>
          <w:b/>
          <w:color w:val="auto"/>
          <w:sz w:val="22"/>
          <w:szCs w:val="22"/>
          <w:highlight w:val="none"/>
        </w:rPr>
        <w:t>在投标截止时间前，投标人可以用书面形式提出修改或撤回其投标并送达到采购人，但不得影响开标活动的正常进行。</w:t>
      </w:r>
    </w:p>
    <w:p w14:paraId="30D54471">
      <w:pPr>
        <w:numPr>
          <w:ilvl w:val="1"/>
          <w:numId w:val="17"/>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“投标文件修改”或“投标文件撤回通知”都应密封并在密封袋上写明投标采购项目、编号、投标单位名称，并注明“投标文件修改”或“投标文件撤回通知”字样。</w:t>
      </w:r>
    </w:p>
    <w:p w14:paraId="30AD08C1">
      <w:pPr>
        <w:numPr>
          <w:ilvl w:val="1"/>
          <w:numId w:val="17"/>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bCs/>
          <w:color w:val="auto"/>
          <w:sz w:val="22"/>
          <w:szCs w:val="22"/>
          <w:highlight w:val="none"/>
        </w:rPr>
        <w:t>从投标截止日期起至投标有效期满这段时间内，投标人不得撤回其投标</w:t>
      </w:r>
      <w:r>
        <w:rPr>
          <w:rFonts w:hint="eastAsia" w:ascii="宋体" w:hAnsi="宋体" w:cs="宋体"/>
          <w:color w:val="auto"/>
          <w:sz w:val="22"/>
          <w:szCs w:val="22"/>
          <w:highlight w:val="none"/>
        </w:rPr>
        <w:t>。</w:t>
      </w:r>
    </w:p>
    <w:p w14:paraId="7222F058">
      <w:pPr>
        <w:numPr>
          <w:ilvl w:val="0"/>
          <w:numId w:val="15"/>
        </w:numPr>
        <w:tabs>
          <w:tab w:val="left" w:pos="540"/>
          <w:tab w:val="clear" w:pos="420"/>
        </w:tabs>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u w:val="single"/>
        </w:rPr>
        <w:t>▲</w:t>
      </w:r>
      <w:r>
        <w:rPr>
          <w:rFonts w:hint="eastAsia" w:ascii="宋体" w:hAnsi="宋体" w:cs="宋体"/>
          <w:b/>
          <w:bCs/>
          <w:color w:val="auto"/>
          <w:sz w:val="22"/>
          <w:szCs w:val="22"/>
          <w:highlight w:val="none"/>
          <w:u w:val="single"/>
        </w:rPr>
        <w:t>发生下列情况之一的投标文件将不予受理</w:t>
      </w:r>
      <w:r>
        <w:rPr>
          <w:rFonts w:hint="eastAsia" w:ascii="宋体" w:hAnsi="宋体" w:cs="宋体"/>
          <w:bCs/>
          <w:color w:val="auto"/>
          <w:sz w:val="22"/>
          <w:szCs w:val="22"/>
          <w:highlight w:val="none"/>
        </w:rPr>
        <w:t>：</w:t>
      </w:r>
    </w:p>
    <w:p w14:paraId="071330DF">
      <w:pPr>
        <w:numPr>
          <w:ilvl w:val="1"/>
          <w:numId w:val="18"/>
        </w:numPr>
        <w:tabs>
          <w:tab w:val="left" w:pos="540"/>
          <w:tab w:val="clear" w:pos="992"/>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bCs/>
          <w:color w:val="auto"/>
          <w:sz w:val="22"/>
          <w:szCs w:val="22"/>
          <w:highlight w:val="none"/>
          <w:u w:val="single"/>
        </w:rPr>
        <w:t>在投标截止时间以后送达的投标文件；</w:t>
      </w:r>
    </w:p>
    <w:p w14:paraId="63BD30FD">
      <w:pPr>
        <w:numPr>
          <w:ilvl w:val="1"/>
          <w:numId w:val="18"/>
        </w:numPr>
        <w:tabs>
          <w:tab w:val="left" w:pos="540"/>
          <w:tab w:val="clear" w:pos="992"/>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bCs/>
          <w:color w:val="auto"/>
          <w:sz w:val="22"/>
          <w:szCs w:val="22"/>
          <w:highlight w:val="none"/>
          <w:u w:val="single"/>
        </w:rPr>
        <w:t>未购买采购文件；</w:t>
      </w:r>
    </w:p>
    <w:p w14:paraId="2EC9CA0F">
      <w:pPr>
        <w:numPr>
          <w:ilvl w:val="1"/>
          <w:numId w:val="18"/>
        </w:numPr>
        <w:tabs>
          <w:tab w:val="left" w:pos="540"/>
          <w:tab w:val="clear" w:pos="992"/>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未密封或未装订的投标文件及由于包装不妥在送达途中严重破损或失散的投标文件；</w:t>
      </w:r>
    </w:p>
    <w:p w14:paraId="2A5391EF">
      <w:pPr>
        <w:numPr>
          <w:ilvl w:val="1"/>
          <w:numId w:val="18"/>
        </w:numPr>
        <w:tabs>
          <w:tab w:val="left" w:pos="540"/>
          <w:tab w:val="clear" w:pos="992"/>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以电讯形式递交的投标文件。</w:t>
      </w:r>
    </w:p>
    <w:p w14:paraId="4E5452AC">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r>
        <w:rPr>
          <w:rFonts w:hint="eastAsia" w:ascii="宋体" w:hAnsi="宋体" w:cs="宋体"/>
          <w:b/>
          <w:bCs/>
          <w:color w:val="auto"/>
          <w:sz w:val="26"/>
          <w:szCs w:val="26"/>
          <w:highlight w:val="none"/>
        </w:rPr>
        <w:t xml:space="preserve"> </w:t>
      </w:r>
      <w:bookmarkStart w:id="101" w:name="_Toc4653"/>
      <w:r>
        <w:rPr>
          <w:rFonts w:hint="eastAsia" w:ascii="宋体" w:hAnsi="宋体" w:cs="宋体"/>
          <w:b/>
          <w:bCs/>
          <w:color w:val="auto"/>
          <w:sz w:val="26"/>
          <w:szCs w:val="26"/>
          <w:highlight w:val="none"/>
        </w:rPr>
        <w:t>开标和评标</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A08321B">
      <w:pPr>
        <w:numPr>
          <w:ilvl w:val="0"/>
          <w:numId w:val="19"/>
        </w:numPr>
        <w:tabs>
          <w:tab w:val="left" w:pos="540"/>
          <w:tab w:val="clear" w:pos="420"/>
        </w:tabs>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评标委员会</w:t>
      </w:r>
    </w:p>
    <w:p w14:paraId="215F0263">
      <w:pPr>
        <w:spacing w:line="440" w:lineRule="exact"/>
        <w:ind w:left="540" w:leftChars="257"/>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采购人依法组建评标委员会。评标委员会的成员在评标过程中必须严格遵守《温州市市属国有企业采购管理办法》等有关法律、法规的规定。</w:t>
      </w:r>
    </w:p>
    <w:p w14:paraId="01541C70">
      <w:pPr>
        <w:numPr>
          <w:ilvl w:val="0"/>
          <w:numId w:val="19"/>
        </w:numPr>
        <w:tabs>
          <w:tab w:val="left" w:pos="540"/>
          <w:tab w:val="clear" w:pos="420"/>
        </w:tabs>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评标过程的保密性</w:t>
      </w:r>
    </w:p>
    <w:p w14:paraId="1DD09425">
      <w:pPr>
        <w:spacing w:line="440" w:lineRule="exact"/>
        <w:ind w:left="540" w:leftChars="257"/>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开标后直至向中标人授予合同时止，凡与评审有关的资料均不得向投标人及与评标无关人员透露。如果投标人在评标过程中试图向采购人和评标委员会施加影响，其投标将被拒绝。</w:t>
      </w:r>
    </w:p>
    <w:p w14:paraId="27568FE8">
      <w:pPr>
        <w:numPr>
          <w:ilvl w:val="0"/>
          <w:numId w:val="19"/>
        </w:numPr>
        <w:tabs>
          <w:tab w:val="left" w:pos="540"/>
          <w:tab w:val="clear" w:pos="420"/>
        </w:tabs>
        <w:spacing w:line="440" w:lineRule="exact"/>
        <w:rPr>
          <w:rFonts w:hint="eastAsia" w:ascii="宋体" w:hAnsi="宋体" w:cs="宋体"/>
          <w:b/>
          <w:bCs/>
          <w:color w:val="auto"/>
          <w:sz w:val="22"/>
          <w:szCs w:val="22"/>
          <w:highlight w:val="none"/>
        </w:rPr>
      </w:pPr>
      <w:r>
        <w:rPr>
          <w:rFonts w:hint="eastAsia" w:ascii="宋体" w:hAnsi="宋体" w:cs="宋体"/>
          <w:bCs/>
          <w:color w:val="auto"/>
          <w:sz w:val="22"/>
          <w:szCs w:val="22"/>
          <w:highlight w:val="none"/>
        </w:rPr>
        <w:t>开标、评标</w:t>
      </w:r>
    </w:p>
    <w:p w14:paraId="7BDA1BF0">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按采购文件规定的时间、地点开启各投标人的投标文件。开标前，首先检查投标文件的密封情况，确认无误后开启投标文件（资格文件、商务技术文件）。 </w:t>
      </w:r>
    </w:p>
    <w:p w14:paraId="7E9700A9">
      <w:pPr>
        <w:numPr>
          <w:ilvl w:val="1"/>
          <w:numId w:val="20"/>
        </w:numPr>
        <w:tabs>
          <w:tab w:val="left" w:pos="535"/>
        </w:tabs>
        <w:overflowPunct w:val="0"/>
        <w:spacing w:line="440" w:lineRule="exact"/>
        <w:ind w:left="535" w:hanging="535"/>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投标文件的初审。初审分为资格性审查和符合性检查。</w:t>
      </w:r>
    </w:p>
    <w:p w14:paraId="2B024BCA">
      <w:pPr>
        <w:overflowPunct w:val="0"/>
        <w:spacing w:line="440" w:lineRule="exact"/>
        <w:ind w:firstLine="110" w:firstLineChars="50"/>
        <w:rPr>
          <w:rFonts w:hint="eastAsia"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rPr>
        <w:tab/>
      </w:r>
      <w:r>
        <w:rPr>
          <w:rFonts w:hint="eastAsia" w:ascii="宋体" w:hAnsi="宋体" w:cs="宋体"/>
          <w:bCs/>
          <w:color w:val="auto"/>
          <w:sz w:val="22"/>
          <w:szCs w:val="22"/>
          <w:highlight w:val="none"/>
        </w:rPr>
        <w:t>资格性审查。</w:t>
      </w:r>
    </w:p>
    <w:p w14:paraId="3E028ACE">
      <w:pPr>
        <w:pStyle w:val="68"/>
        <w:tabs>
          <w:tab w:val="left" w:pos="425"/>
        </w:tabs>
        <w:overflowPunct w:val="0"/>
        <w:spacing w:line="440" w:lineRule="exact"/>
        <w:ind w:left="420"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依据法律、法规和采购文件的规定，采购人或代理机构在开启各投标人资格证明文件后，对各投标人进行投标资格审查，审查内容包括但不仅限于投标文件所提交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679BC408">
      <w:pPr>
        <w:overflowPunct w:val="0"/>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2)</w:t>
      </w:r>
      <w:r>
        <w:rPr>
          <w:rFonts w:hint="eastAsia" w:ascii="宋体" w:hAnsi="宋体" w:cs="宋体"/>
          <w:bCs/>
          <w:color w:val="auto"/>
          <w:sz w:val="22"/>
          <w:szCs w:val="22"/>
          <w:highlight w:val="none"/>
        </w:rPr>
        <w:tab/>
      </w:r>
      <w:r>
        <w:rPr>
          <w:rFonts w:hint="eastAsia" w:ascii="宋体" w:hAnsi="宋体" w:cs="宋体"/>
          <w:bCs/>
          <w:color w:val="auto"/>
          <w:sz w:val="22"/>
          <w:szCs w:val="22"/>
          <w:highlight w:val="none"/>
        </w:rPr>
        <w:t>符合性检查。依据采购文件的规定，从投标文件中的有效性、完整性和对采购文件的响应程度进行审查。</w:t>
      </w:r>
    </w:p>
    <w:p w14:paraId="0D242AAC">
      <w:pPr>
        <w:overflowPunct w:val="0"/>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3)</w:t>
      </w:r>
      <w:r>
        <w:rPr>
          <w:rFonts w:hint="eastAsia" w:ascii="宋体" w:hAnsi="宋体" w:cs="宋体"/>
          <w:b/>
          <w:bCs/>
          <w:color w:val="auto"/>
          <w:sz w:val="22"/>
          <w:szCs w:val="22"/>
          <w:highlight w:val="none"/>
        </w:rPr>
        <w:t xml:space="preserve"> </w:t>
      </w:r>
      <w:r>
        <w:rPr>
          <w:rFonts w:hint="eastAsia" w:ascii="宋体" w:hAnsi="宋体" w:cs="宋体"/>
          <w:b/>
          <w:color w:val="auto"/>
          <w:kern w:val="0"/>
          <w:sz w:val="22"/>
          <w:szCs w:val="22"/>
          <w:highlight w:val="none"/>
        </w:rPr>
        <w:t>▲</w:t>
      </w:r>
      <w:r>
        <w:rPr>
          <w:rFonts w:hint="eastAsia" w:ascii="宋体" w:hAnsi="宋体" w:cs="宋体"/>
          <w:b/>
          <w:bCs/>
          <w:color w:val="auto"/>
          <w:sz w:val="22"/>
          <w:szCs w:val="22"/>
          <w:highlight w:val="none"/>
          <w:u w:val="single"/>
        </w:rPr>
        <w:t>通过资格性审查与符合性审查的商务技术文件由评委进行综合评审，审查确认未通过的商务技术文件不予评审。</w:t>
      </w:r>
    </w:p>
    <w:p w14:paraId="681A4595">
      <w:pPr>
        <w:numPr>
          <w:ilvl w:val="1"/>
          <w:numId w:val="20"/>
        </w:numPr>
        <w:tabs>
          <w:tab w:val="left" w:pos="540"/>
        </w:tabs>
        <w:spacing w:line="440" w:lineRule="exact"/>
        <w:ind w:left="540" w:hanging="54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u w:val="single"/>
        </w:rPr>
        <w:t>在对各投标人的投标文件进行综合评审时，投标文件有下列情况之一的，经评标委员会认定后按无效标处理：</w:t>
      </w:r>
    </w:p>
    <w:p w14:paraId="5539A4D3">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投标文件中要求投标人加盖投标人公章的地方无投标人公章的；</w:t>
      </w:r>
    </w:p>
    <w:p w14:paraId="393B196F">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投标文件中要求投标人法定代表人或授权代表签字的地方无法定代表人签字或其授权代表签字的；</w:t>
      </w:r>
    </w:p>
    <w:p w14:paraId="44174A94">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不具备采购文件中规定的资格要求的；</w:t>
      </w:r>
    </w:p>
    <w:p w14:paraId="2A5F459C">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报价超过采购文件中规定的预算金额或者最高限价的；</w:t>
      </w:r>
    </w:p>
    <w:p w14:paraId="3137B93C">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投标文件含有采购人不能接受的附加条件的；</w:t>
      </w:r>
    </w:p>
    <w:p w14:paraId="071A718E">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经评标委员会认定投标人串通投标的；</w:t>
      </w:r>
    </w:p>
    <w:p w14:paraId="5168D3F6">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同时出现两种及以上不一致价格且修正后投标人不确认报价的；</w:t>
      </w:r>
    </w:p>
    <w:p w14:paraId="28143B23">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报价明显低于其他通过符合性审查投标人的报价，且在评标现场合理的时间内不能证明其报价合理性的；</w:t>
      </w:r>
    </w:p>
    <w:p w14:paraId="368A0DFA">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sz w:val="22"/>
          <w:szCs w:val="22"/>
          <w:highlight w:val="none"/>
          <w:u w:val="single"/>
        </w:rPr>
        <w:t>在资格文件或商务技术文件中出现投标报价的；</w:t>
      </w:r>
    </w:p>
    <w:p w14:paraId="60A5FEA7">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bCs/>
          <w:color w:val="auto"/>
          <w:kern w:val="0"/>
          <w:sz w:val="22"/>
          <w:szCs w:val="22"/>
          <w:highlight w:val="none"/>
          <w:u w:val="single"/>
        </w:rPr>
        <w:t>授权代表</w:t>
      </w:r>
      <w:r>
        <w:rPr>
          <w:rFonts w:hint="eastAsia" w:ascii="宋体" w:hAnsi="宋体" w:cs="宋体"/>
          <w:b/>
          <w:color w:val="auto"/>
          <w:kern w:val="0"/>
          <w:sz w:val="22"/>
          <w:szCs w:val="22"/>
          <w:highlight w:val="none"/>
          <w:u w:val="single"/>
        </w:rPr>
        <w:t>无法定代表人合法、有效委托的；</w:t>
      </w:r>
    </w:p>
    <w:p w14:paraId="6C011324">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sz w:val="22"/>
          <w:szCs w:val="22"/>
          <w:highlight w:val="none"/>
          <w:u w:val="single"/>
        </w:rPr>
        <w:t>提供了虚假文件资料，有弄虚作假行为的；</w:t>
      </w:r>
    </w:p>
    <w:p w14:paraId="1B0DB58B">
      <w:pPr>
        <w:numPr>
          <w:ilvl w:val="0"/>
          <w:numId w:val="21"/>
        </w:numPr>
        <w:spacing w:line="440" w:lineRule="exac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评标委员会认定不符合法律、法规和采购文件中规定的其他实质性要求的。</w:t>
      </w:r>
    </w:p>
    <w:p w14:paraId="0C675E81">
      <w:pPr>
        <w:numPr>
          <w:ilvl w:val="1"/>
          <w:numId w:val="20"/>
        </w:numPr>
        <w:tabs>
          <w:tab w:val="left" w:pos="540"/>
        </w:tabs>
        <w:spacing w:line="440" w:lineRule="exact"/>
        <w:ind w:left="540" w:hanging="54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▲有下列情形之一的，视为投标人串通投标，其投标无效：</w:t>
      </w:r>
    </w:p>
    <w:p w14:paraId="30ABDDD5">
      <w:pPr>
        <w:pStyle w:val="68"/>
        <w:spacing w:line="440" w:lineRule="exact"/>
        <w:ind w:left="425" w:firstLine="0" w:firstLineChars="0"/>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1)不同投标人的投标文件由同一单位或者个人编制；</w:t>
      </w:r>
    </w:p>
    <w:p w14:paraId="0E9BF0B0">
      <w:pPr>
        <w:pStyle w:val="68"/>
        <w:spacing w:line="440" w:lineRule="exact"/>
        <w:ind w:left="425" w:firstLine="0" w:firstLineChars="0"/>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2)不同投标人委托同一单位或者个人办理投标事宜；</w:t>
      </w:r>
    </w:p>
    <w:p w14:paraId="38DF16EA">
      <w:pPr>
        <w:pStyle w:val="68"/>
        <w:spacing w:line="440" w:lineRule="exact"/>
        <w:ind w:left="425" w:firstLine="0" w:firstLineChars="0"/>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3)不同投标人的投标文件载明的项目管理成员或者联系人员为同一人；</w:t>
      </w:r>
    </w:p>
    <w:p w14:paraId="136230E4">
      <w:pPr>
        <w:pStyle w:val="68"/>
        <w:spacing w:line="440" w:lineRule="exact"/>
        <w:ind w:left="425" w:firstLine="0" w:firstLineChars="0"/>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4）不同投标人的投标文件异常一致或者投标报价呈规律性差异；</w:t>
      </w:r>
    </w:p>
    <w:p w14:paraId="07EA18EB">
      <w:pPr>
        <w:pStyle w:val="68"/>
        <w:spacing w:line="440" w:lineRule="exact"/>
        <w:ind w:left="425" w:firstLine="0" w:firstLineChars="0"/>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5）不同投标人的投标文件相互混装；</w:t>
      </w:r>
    </w:p>
    <w:p w14:paraId="091138B7">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开启报价文件</w:t>
      </w:r>
    </w:p>
    <w:p w14:paraId="454E46C1">
      <w:pPr>
        <w:numPr>
          <w:ilvl w:val="0"/>
          <w:numId w:val="22"/>
        </w:numPr>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开报价文件时邀请所有投标人代表参加，参加开标的代表应准时出席并签名报到以证明其出席。投标人代表未参加开标会的，事后不得对开标过程和开标结果提出异议。</w:t>
      </w:r>
    </w:p>
    <w:p w14:paraId="31527E79">
      <w:pPr>
        <w:numPr>
          <w:ilvl w:val="0"/>
          <w:numId w:val="22"/>
        </w:numPr>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宣布对各投标人有效身份证件等审查结果和商务技术文件得分情况。</w:t>
      </w:r>
    </w:p>
    <w:p w14:paraId="36138ACB">
      <w:pPr>
        <w:numPr>
          <w:ilvl w:val="0"/>
          <w:numId w:val="22"/>
        </w:numPr>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7BC9409D">
      <w:pPr>
        <w:numPr>
          <w:ilvl w:val="0"/>
          <w:numId w:val="22"/>
        </w:numPr>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开标时没有启封和宣读的投标文件，原封退回给投标人。</w:t>
      </w:r>
    </w:p>
    <w:p w14:paraId="3877C147">
      <w:pPr>
        <w:numPr>
          <w:ilvl w:val="0"/>
          <w:numId w:val="22"/>
        </w:numPr>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开报价文件时，采购人指定专人作好记录，存档备查。</w:t>
      </w:r>
    </w:p>
    <w:p w14:paraId="6025ABA0">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“报价文件”开启后，由评标委员会对各投标人的商务报价进行核查，核查时发现投标报价内容不清楚可要求投标人书面澄清，计算上的错误，可按下面方法修正：</w:t>
      </w:r>
    </w:p>
    <w:p w14:paraId="386689BA">
      <w:pPr>
        <w:numPr>
          <w:ilvl w:val="0"/>
          <w:numId w:val="23"/>
        </w:numPr>
        <w:tabs>
          <w:tab w:val="left" w:pos="720"/>
          <w:tab w:val="clear" w:pos="420"/>
        </w:tabs>
        <w:spacing w:line="440" w:lineRule="exact"/>
        <w:ind w:firstLine="6"/>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8B48AF8">
      <w:pPr>
        <w:numPr>
          <w:ilvl w:val="0"/>
          <w:numId w:val="23"/>
        </w:numPr>
        <w:tabs>
          <w:tab w:val="left" w:pos="720"/>
          <w:tab w:val="clear" w:pos="420"/>
        </w:tabs>
        <w:spacing w:line="440" w:lineRule="exact"/>
        <w:ind w:firstLine="6"/>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如果投标人不接受对其价格错误进行修正，其投标无效。</w:t>
      </w:r>
    </w:p>
    <w:p w14:paraId="7C72FB1E">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b/>
          <w:bCs/>
          <w:color w:val="auto"/>
          <w:sz w:val="22"/>
          <w:szCs w:val="22"/>
          <w:highlight w:val="none"/>
        </w:rPr>
        <w:t>评标委员会决定投标的响应性只根据投标文件本身的内容，而不寻求外部的证据。</w:t>
      </w:r>
    </w:p>
    <w:p w14:paraId="76D56CAE">
      <w:pPr>
        <w:numPr>
          <w:ilvl w:val="1"/>
          <w:numId w:val="20"/>
        </w:numPr>
        <w:tabs>
          <w:tab w:val="left" w:pos="540"/>
        </w:tabs>
        <w:spacing w:line="440" w:lineRule="exact"/>
        <w:ind w:left="540" w:hanging="54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u w:val="single"/>
        </w:rPr>
        <w:t>实质上没有响应采购文件要求的投标将被拒绝，投标人不得通过修正或撤消不合要求的偏离或保留从而使其投标成为实质上响应的投标。</w:t>
      </w:r>
    </w:p>
    <w:p w14:paraId="47B6EBBF">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评标委员会对审查合格的投标文件按照采购文件中制订的评标方法进行综合评定打分。</w:t>
      </w:r>
    </w:p>
    <w:p w14:paraId="25E7999B">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b/>
          <w:bCs/>
          <w:color w:val="auto"/>
          <w:kern w:val="0"/>
          <w:sz w:val="22"/>
          <w:szCs w:val="22"/>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86D41F">
      <w:pPr>
        <w:numPr>
          <w:ilvl w:val="1"/>
          <w:numId w:val="20"/>
        </w:numPr>
        <w:tabs>
          <w:tab w:val="left" w:pos="540"/>
        </w:tabs>
        <w:spacing w:line="440" w:lineRule="exact"/>
        <w:ind w:left="540" w:hanging="540"/>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评标过程中遇到特殊情况，由评标委员会遵循公开、公正原则，采取投票方式按照少数服从多数原则决定。</w:t>
      </w:r>
    </w:p>
    <w:p w14:paraId="6936A90A">
      <w:pPr>
        <w:numPr>
          <w:ilvl w:val="0"/>
          <w:numId w:val="19"/>
        </w:numPr>
        <w:tabs>
          <w:tab w:val="left" w:pos="540"/>
          <w:tab w:val="clear" w:pos="420"/>
        </w:tabs>
        <w:spacing w:line="44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投标文件的澄清</w:t>
      </w:r>
    </w:p>
    <w:p w14:paraId="71810091">
      <w:pPr>
        <w:numPr>
          <w:ilvl w:val="1"/>
          <w:numId w:val="24"/>
        </w:numPr>
        <w:tabs>
          <w:tab w:val="left" w:pos="540"/>
          <w:tab w:val="clear" w:pos="992"/>
        </w:tabs>
        <w:spacing w:line="440" w:lineRule="exact"/>
        <w:ind w:left="540" w:hanging="540"/>
        <w:rPr>
          <w:rFonts w:hint="eastAsia" w:ascii="宋体" w:hAnsi="宋体" w:cs="宋体"/>
          <w:b/>
          <w:color w:val="auto"/>
          <w:sz w:val="22"/>
          <w:szCs w:val="22"/>
          <w:highlight w:val="none"/>
        </w:rPr>
      </w:pPr>
      <w:r>
        <w:rPr>
          <w:rFonts w:hint="eastAsia" w:ascii="宋体" w:hAnsi="宋体" w:cs="宋体"/>
          <w:bCs/>
          <w:color w:val="auto"/>
          <w:sz w:val="22"/>
          <w:szCs w:val="22"/>
          <w:highlight w:val="none"/>
        </w:rPr>
        <w:t>在评标期间，评标委员会可以对投标文件中含义不明确、对同类问题表述不一致或者有明显文字和计算错误的内容作必要的澄清、说明或补正。澄清内容不得超出投标文件的范围或者改变投标文件的实质性内容。拒不按要求对其投标文件进行澄清，说明或补正的投标人，评标委员会可以否决其投标。</w:t>
      </w:r>
    </w:p>
    <w:p w14:paraId="4564DAE1">
      <w:pPr>
        <w:numPr>
          <w:ilvl w:val="1"/>
          <w:numId w:val="24"/>
        </w:numPr>
        <w:tabs>
          <w:tab w:val="left" w:pos="540"/>
          <w:tab w:val="clear" w:pos="992"/>
        </w:tabs>
        <w:spacing w:line="440" w:lineRule="exact"/>
        <w:ind w:left="540" w:hanging="540"/>
        <w:rPr>
          <w:rFonts w:hint="eastAsia" w:ascii="宋体" w:hAnsi="宋体" w:cs="宋体"/>
          <w:b/>
          <w:color w:val="auto"/>
          <w:sz w:val="22"/>
          <w:szCs w:val="22"/>
          <w:highlight w:val="none"/>
          <w:u w:val="single"/>
        </w:rPr>
      </w:pPr>
      <w:r>
        <w:rPr>
          <w:rFonts w:hint="eastAsia" w:ascii="宋体" w:hAnsi="宋体" w:cs="宋体"/>
          <w:b/>
          <w:color w:val="auto"/>
          <w:kern w:val="0"/>
          <w:sz w:val="22"/>
          <w:szCs w:val="22"/>
          <w:highlight w:val="none"/>
          <w:u w:val="single"/>
        </w:rPr>
        <w:t>▲</w:t>
      </w:r>
      <w:r>
        <w:rPr>
          <w:rFonts w:hint="eastAsia" w:ascii="宋体" w:hAnsi="宋体" w:cs="宋体"/>
          <w:b/>
          <w:color w:val="auto"/>
          <w:sz w:val="22"/>
          <w:szCs w:val="22"/>
          <w:highlight w:val="none"/>
          <w:u w:val="single"/>
        </w:rPr>
        <w:t>经澄清后，若偏差仍存在，且不可接受，投标人则被认为是“没有实质性响应采购文件要求”，其投标不进入下一步评审。</w:t>
      </w:r>
    </w:p>
    <w:p w14:paraId="3379A113">
      <w:pPr>
        <w:numPr>
          <w:ilvl w:val="0"/>
          <w:numId w:val="19"/>
        </w:numPr>
        <w:tabs>
          <w:tab w:val="left" w:pos="540"/>
          <w:tab w:val="clear" w:pos="420"/>
        </w:tabs>
        <w:spacing w:line="440" w:lineRule="exact"/>
        <w:rPr>
          <w:rFonts w:hint="eastAsia" w:ascii="宋体" w:hAnsi="宋体" w:cs="宋体"/>
          <w:color w:val="auto"/>
          <w:sz w:val="22"/>
          <w:szCs w:val="22"/>
          <w:highlight w:val="none"/>
        </w:rPr>
      </w:pPr>
      <w:r>
        <w:rPr>
          <w:rFonts w:hint="eastAsia" w:ascii="宋体" w:hAnsi="宋体" w:cs="宋体"/>
          <w:bCs/>
          <w:color w:val="auto"/>
          <w:sz w:val="22"/>
          <w:szCs w:val="22"/>
          <w:highlight w:val="none"/>
        </w:rPr>
        <w:t>确定中标候选人</w:t>
      </w:r>
    </w:p>
    <w:p w14:paraId="61D140CD">
      <w:pPr>
        <w:numPr>
          <w:ilvl w:val="1"/>
          <w:numId w:val="25"/>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本次采购由评标委员会推荐中标候选人，采购人根据评标委员会的推荐结果进行最终确认。</w:t>
      </w:r>
    </w:p>
    <w:p w14:paraId="0073D924">
      <w:pPr>
        <w:numPr>
          <w:ilvl w:val="1"/>
          <w:numId w:val="25"/>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评标委员会依据法律、法规及采购文件有关规定在有效标中按投标人的综合得分（商务技术分及报价分之和）高低进行排序，综合得分</w:t>
      </w:r>
      <w:r>
        <w:rPr>
          <w:rFonts w:hint="eastAsia" w:ascii="新宋体" w:hAnsi="新宋体" w:eastAsia="新宋体" w:cs="新宋体"/>
          <w:color w:val="auto"/>
          <w:sz w:val="22"/>
          <w:szCs w:val="22"/>
          <w:highlight w:val="none"/>
        </w:rPr>
        <w:t>排序前2名投标人为中标候选人</w:t>
      </w:r>
      <w:r>
        <w:rPr>
          <w:rFonts w:hint="eastAsia" w:ascii="宋体" w:hAnsi="宋体" w:cs="宋体"/>
          <w:color w:val="auto"/>
          <w:sz w:val="22"/>
          <w:szCs w:val="22"/>
          <w:highlight w:val="none"/>
        </w:rPr>
        <w:t>。（综合得分相同的，按报价分由高到底顺序排列；综合得分且报价分相同的，由评标委员会成员抽签决定排序）</w:t>
      </w:r>
    </w:p>
    <w:p w14:paraId="6DA4CAC8">
      <w:pPr>
        <w:numPr>
          <w:ilvl w:val="1"/>
          <w:numId w:val="25"/>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若出现以下情形之一，采购人可视具体情况确定</w:t>
      </w:r>
      <w:r>
        <w:rPr>
          <w:rFonts w:hint="eastAsia" w:ascii="宋体" w:hAnsi="宋体" w:cs="宋体"/>
          <w:color w:val="auto"/>
          <w:kern w:val="0"/>
          <w:sz w:val="22"/>
          <w:szCs w:val="22"/>
          <w:highlight w:val="none"/>
        </w:rPr>
        <w:t>是否由排名后续的中标候选人为中标人或</w:t>
      </w:r>
      <w:r>
        <w:rPr>
          <w:rFonts w:hint="eastAsia" w:ascii="宋体" w:hAnsi="宋体" w:cs="宋体"/>
          <w:color w:val="auto"/>
          <w:sz w:val="22"/>
          <w:szCs w:val="22"/>
          <w:highlight w:val="none"/>
        </w:rPr>
        <w:t>重新组织采购：</w:t>
      </w:r>
    </w:p>
    <w:p w14:paraId="4088FDA6">
      <w:pPr>
        <w:tabs>
          <w:tab w:val="left" w:pos="540"/>
        </w:tabs>
        <w:autoSpaceDE w:val="0"/>
        <w:autoSpaceDN w:val="0"/>
        <w:adjustRightInd w:val="0"/>
        <w:spacing w:line="440" w:lineRule="exact"/>
        <w:ind w:left="42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w:t>
      </w:r>
      <w:r>
        <w:rPr>
          <w:rFonts w:hint="eastAsia" w:ascii="宋体" w:hAnsi="宋体" w:cs="宋体"/>
          <w:color w:val="auto"/>
          <w:kern w:val="0"/>
          <w:sz w:val="22"/>
          <w:szCs w:val="22"/>
          <w:highlight w:val="none"/>
        </w:rPr>
        <w:t>原</w:t>
      </w:r>
      <w:r>
        <w:rPr>
          <w:rFonts w:hint="eastAsia" w:ascii="宋体" w:hAnsi="宋体" w:cs="宋体"/>
          <w:color w:val="auto"/>
          <w:kern w:val="0"/>
          <w:sz w:val="22"/>
          <w:szCs w:val="22"/>
          <w:highlight w:val="none"/>
          <w:lang w:val="zh-CN"/>
        </w:rPr>
        <w:t>中标候选人放弃中标资格；</w:t>
      </w:r>
    </w:p>
    <w:p w14:paraId="7CD4C1F8">
      <w:pPr>
        <w:tabs>
          <w:tab w:val="left" w:pos="540"/>
        </w:tabs>
        <w:autoSpaceDE w:val="0"/>
        <w:autoSpaceDN w:val="0"/>
        <w:adjustRightInd w:val="0"/>
        <w:spacing w:line="440" w:lineRule="exact"/>
        <w:ind w:left="42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w:t>
      </w:r>
      <w:r>
        <w:rPr>
          <w:rFonts w:hint="eastAsia" w:ascii="宋体" w:hAnsi="宋体" w:cs="宋体"/>
          <w:color w:val="auto"/>
          <w:kern w:val="0"/>
          <w:sz w:val="22"/>
          <w:szCs w:val="22"/>
          <w:highlight w:val="none"/>
        </w:rPr>
        <w:t>原</w:t>
      </w:r>
      <w:r>
        <w:rPr>
          <w:rFonts w:hint="eastAsia" w:ascii="宋体" w:hAnsi="宋体" w:cs="宋体"/>
          <w:color w:val="auto"/>
          <w:kern w:val="0"/>
          <w:sz w:val="22"/>
          <w:szCs w:val="22"/>
          <w:highlight w:val="none"/>
          <w:lang w:val="zh-CN"/>
        </w:rPr>
        <w:t>中标候选人因不可抗力提出不能履行合同；</w:t>
      </w:r>
    </w:p>
    <w:p w14:paraId="0FBF7415">
      <w:pPr>
        <w:tabs>
          <w:tab w:val="left" w:pos="540"/>
        </w:tabs>
        <w:autoSpaceDE w:val="0"/>
        <w:autoSpaceDN w:val="0"/>
        <w:adjustRightInd w:val="0"/>
        <w:spacing w:line="440" w:lineRule="exact"/>
        <w:ind w:left="42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rPr>
        <w:t>原</w:t>
      </w:r>
      <w:r>
        <w:rPr>
          <w:rFonts w:hint="eastAsia" w:ascii="宋体" w:hAnsi="宋体" w:cs="宋体"/>
          <w:color w:val="auto"/>
          <w:kern w:val="0"/>
          <w:sz w:val="22"/>
          <w:szCs w:val="22"/>
          <w:highlight w:val="none"/>
          <w:lang w:val="zh-CN"/>
        </w:rPr>
        <w:t>中标候选人未能在规定时间内与采购人签订合同；</w:t>
      </w:r>
    </w:p>
    <w:p w14:paraId="2B7AA856">
      <w:pPr>
        <w:spacing w:line="440" w:lineRule="exact"/>
        <w:ind w:left="42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rPr>
        <w:t>4</w:t>
      </w:r>
      <w:r>
        <w:rPr>
          <w:rFonts w:hint="eastAsia" w:ascii="宋体" w:hAnsi="宋体" w:cs="宋体"/>
          <w:color w:val="auto"/>
          <w:kern w:val="0"/>
          <w:sz w:val="22"/>
          <w:szCs w:val="22"/>
          <w:highlight w:val="none"/>
          <w:lang w:val="zh-CN"/>
        </w:rPr>
        <w:t>）经质疑，采购人审查后，</w:t>
      </w:r>
      <w:r>
        <w:rPr>
          <w:rFonts w:hint="eastAsia" w:ascii="宋体" w:hAnsi="宋体" w:cs="宋体"/>
          <w:color w:val="auto"/>
          <w:kern w:val="0"/>
          <w:sz w:val="22"/>
          <w:szCs w:val="22"/>
          <w:highlight w:val="none"/>
        </w:rPr>
        <w:t>原</w:t>
      </w:r>
      <w:r>
        <w:rPr>
          <w:rFonts w:hint="eastAsia" w:ascii="宋体" w:hAnsi="宋体" w:cs="宋体"/>
          <w:color w:val="auto"/>
          <w:kern w:val="0"/>
          <w:sz w:val="22"/>
          <w:szCs w:val="22"/>
          <w:highlight w:val="none"/>
          <w:lang w:val="zh-CN"/>
        </w:rPr>
        <w:t>中标候选人确实在本次采购活动中存在违法违规行为或其他原因使质疑成立的。</w:t>
      </w:r>
    </w:p>
    <w:p w14:paraId="32C738F7">
      <w:pPr>
        <w:numPr>
          <w:ilvl w:val="1"/>
          <w:numId w:val="25"/>
        </w:numPr>
        <w:tabs>
          <w:tab w:val="left" w:pos="540"/>
          <w:tab w:val="clear" w:pos="992"/>
        </w:tabs>
        <w:spacing w:line="440" w:lineRule="exact"/>
        <w:ind w:left="540" w:hanging="540"/>
        <w:rPr>
          <w:rFonts w:hint="eastAsia" w:ascii="宋体" w:hAnsi="宋体" w:cs="宋体"/>
          <w:color w:val="auto"/>
          <w:sz w:val="22"/>
          <w:szCs w:val="22"/>
          <w:highlight w:val="none"/>
        </w:rPr>
      </w:pPr>
      <w:r>
        <w:rPr>
          <w:rFonts w:hint="eastAsia" w:ascii="宋体" w:hAnsi="宋体" w:cs="宋体"/>
          <w:color w:val="auto"/>
          <w:sz w:val="22"/>
          <w:szCs w:val="22"/>
          <w:highlight w:val="none"/>
        </w:rPr>
        <w:t>采购人、采购代理机构及评标委员会对未中标的投标人不作解释，不对投标人公布详细的评审情况，不公布具体评标细则中小项得分。</w:t>
      </w:r>
    </w:p>
    <w:p w14:paraId="23EF9B81">
      <w:pPr>
        <w:numPr>
          <w:ilvl w:val="0"/>
          <w:numId w:val="19"/>
        </w:numPr>
        <w:tabs>
          <w:tab w:val="left" w:pos="540"/>
          <w:tab w:val="clear" w:pos="420"/>
        </w:tabs>
        <w:spacing w:line="440" w:lineRule="exact"/>
        <w:rPr>
          <w:rFonts w:hint="eastAsia" w:ascii="宋体" w:hAnsi="宋体" w:cs="宋体"/>
          <w:color w:val="auto"/>
          <w:sz w:val="22"/>
          <w:szCs w:val="22"/>
          <w:highlight w:val="none"/>
        </w:rPr>
      </w:pPr>
      <w:r>
        <w:rPr>
          <w:rFonts w:hint="eastAsia" w:ascii="宋体" w:hAnsi="宋体" w:cs="宋体"/>
          <w:bCs/>
          <w:color w:val="auto"/>
          <w:sz w:val="22"/>
          <w:szCs w:val="22"/>
          <w:highlight w:val="none"/>
        </w:rPr>
        <w:t>评标原则及办法</w:t>
      </w:r>
    </w:p>
    <w:p w14:paraId="354ED4C9">
      <w:pPr>
        <w:spacing w:line="440" w:lineRule="exact"/>
        <w:ind w:firstLine="550" w:firstLineChars="250"/>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评标委员会按照采购文件的要求和条件进行评标，详见“评标原则及方法”。</w:t>
      </w:r>
    </w:p>
    <w:p w14:paraId="5E0E4A8B">
      <w:pPr>
        <w:pStyle w:val="17"/>
        <w:ind w:firstLine="210"/>
        <w:rPr>
          <w:rFonts w:hint="eastAsia"/>
          <w:color w:val="auto"/>
          <w:highlight w:val="none"/>
        </w:rPr>
      </w:pPr>
    </w:p>
    <w:p w14:paraId="441FC220">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102" w:name="_Toc222114881"/>
      <w:bookmarkStart w:id="103" w:name="_Toc249758866"/>
      <w:bookmarkStart w:id="104" w:name="_Toc246261267"/>
      <w:bookmarkStart w:id="105" w:name="_Toc245722283"/>
      <w:bookmarkStart w:id="106" w:name="_Toc221356953"/>
      <w:bookmarkStart w:id="107" w:name="_Toc245191316"/>
      <w:bookmarkStart w:id="108" w:name="_Toc249758714"/>
      <w:bookmarkStart w:id="109" w:name="_Toc239145356"/>
      <w:bookmarkStart w:id="110" w:name="_Toc262105505"/>
      <w:bookmarkStart w:id="111" w:name="_Toc221423621"/>
      <w:bookmarkStart w:id="112" w:name="_Toc221374628"/>
      <w:bookmarkStart w:id="113" w:name="_Toc262049420"/>
      <w:bookmarkStart w:id="114" w:name="_Toc241404204"/>
      <w:bookmarkStart w:id="115" w:name="_Toc221356889"/>
      <w:bookmarkStart w:id="116" w:name="_Toc223716000"/>
      <w:r>
        <w:rPr>
          <w:rFonts w:hint="eastAsia" w:ascii="宋体" w:hAnsi="宋体" w:cs="宋体"/>
          <w:b/>
          <w:bCs/>
          <w:color w:val="auto"/>
          <w:sz w:val="26"/>
          <w:szCs w:val="26"/>
          <w:highlight w:val="none"/>
        </w:rPr>
        <w:t xml:space="preserve"> </w:t>
      </w:r>
      <w:bookmarkStart w:id="117" w:name="_Toc17627"/>
      <w:r>
        <w:rPr>
          <w:rFonts w:hint="eastAsia" w:ascii="宋体" w:hAnsi="宋体" w:cs="宋体"/>
          <w:b/>
          <w:bCs/>
          <w:color w:val="auto"/>
          <w:sz w:val="26"/>
          <w:szCs w:val="26"/>
          <w:highlight w:val="none"/>
        </w:rPr>
        <w:t>授予合同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4ACB490">
      <w:pPr>
        <w:numPr>
          <w:ilvl w:val="0"/>
          <w:numId w:val="26"/>
        </w:numPr>
        <w:tabs>
          <w:tab w:val="clear" w:pos="420"/>
        </w:tabs>
        <w:overflowPunct w:val="0"/>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确定中标人</w:t>
      </w:r>
    </w:p>
    <w:p w14:paraId="76E6DC53">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1.1采购代理机构应当在评审结束后2个工作日内将评审报告送采购人确认。</w:t>
      </w:r>
    </w:p>
    <w:p w14:paraId="4BC3506C">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1.2采购人应当在收到评审报告后5个工作日内，从评审报告提出的中标人中，按照排序由高到低的原则确定中标人。</w:t>
      </w:r>
    </w:p>
    <w:p w14:paraId="28C62742">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1.3采购人或者采购代理机构应当在中标人确定后2个工作日内，在指定的媒介上公告成交结果。</w:t>
      </w:r>
      <w:r>
        <w:rPr>
          <w:rFonts w:hint="eastAsia" w:ascii="宋体" w:hAnsi="宋体" w:cs="宋体"/>
          <w:color w:val="auto"/>
          <w:sz w:val="22"/>
          <w:szCs w:val="22"/>
          <w:highlight w:val="none"/>
        </w:rPr>
        <w:t>公告期为3日</w:t>
      </w:r>
      <w:r>
        <w:rPr>
          <w:rFonts w:hint="eastAsia" w:ascii="宋体" w:hAnsi="宋体" w:cs="宋体"/>
          <w:color w:val="auto"/>
          <w:kern w:val="0"/>
          <w:sz w:val="22"/>
          <w:szCs w:val="22"/>
          <w:highlight w:val="none"/>
        </w:rPr>
        <w:t>。</w:t>
      </w:r>
    </w:p>
    <w:p w14:paraId="51BA22D3">
      <w:pPr>
        <w:numPr>
          <w:ilvl w:val="0"/>
          <w:numId w:val="26"/>
        </w:numPr>
        <w:tabs>
          <w:tab w:val="clear" w:pos="420"/>
        </w:tabs>
        <w:overflowPunct w:val="0"/>
        <w:spacing w:line="360" w:lineRule="auto"/>
        <w:rPr>
          <w:rFonts w:hint="eastAsia" w:ascii="宋体" w:hAnsi="宋体" w:cs="宋体"/>
          <w:bCs/>
          <w:color w:val="auto"/>
          <w:sz w:val="22"/>
          <w:szCs w:val="22"/>
          <w:highlight w:val="none"/>
        </w:rPr>
      </w:pPr>
      <w:r>
        <w:rPr>
          <w:rFonts w:hint="eastAsia" w:ascii="宋体" w:hAnsi="宋体" w:cs="宋体"/>
          <w:b/>
          <w:bCs/>
          <w:color w:val="auto"/>
          <w:sz w:val="22"/>
          <w:szCs w:val="22"/>
          <w:highlight w:val="none"/>
        </w:rPr>
        <w:t>中标（成交）通知书</w:t>
      </w:r>
    </w:p>
    <w:p w14:paraId="5C4DEB3D">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2.1中标公示期限结束后，采购代理机构或采购人向中标人发出中标（成交）通知书。</w:t>
      </w:r>
    </w:p>
    <w:p w14:paraId="1A5EF79A">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2.2 中标（成交）通知书是合同的一个组成部分,对采购人和中标人均具有同等法律效力。</w:t>
      </w:r>
    </w:p>
    <w:p w14:paraId="381C0702">
      <w:pPr>
        <w:numPr>
          <w:ilvl w:val="0"/>
          <w:numId w:val="26"/>
        </w:numPr>
        <w:tabs>
          <w:tab w:val="clear" w:pos="420"/>
        </w:tabs>
        <w:overflowPunct w:val="0"/>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签订合同</w:t>
      </w:r>
    </w:p>
    <w:p w14:paraId="130B34AD">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3.1采购人与中标人应按中标（成交）通知书规定的时间以及按照采购文件和中标人的投标文件的约定签订合同，同时按《投标人须知前附表》要求提交履约保证金。</w:t>
      </w:r>
    </w:p>
    <w:p w14:paraId="41CEB7C3">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3.2在签订合同前，采购人有权在成交总价不变的前提下要求中标人对商务报价中的不平衡报价和缺漏项进行调整，如果中标人无合理理由拒绝调整，其成交资格将被取消，且将导致其它进一步的赔偿和处罚。</w:t>
      </w:r>
    </w:p>
    <w:p w14:paraId="3EF2275F">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3.3采购文件、中标人的投标文件、响应修改文件、评审过程中有关澄清文件及经投标人和评标委员会双方签字的询标记录和中标（成交）通知书均作为合同附件。</w:t>
      </w:r>
    </w:p>
    <w:p w14:paraId="0B496F55">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3.4拒签合同的违约责任</w:t>
      </w:r>
    </w:p>
    <w:p w14:paraId="6A68A51F">
      <w:pPr>
        <w:spacing w:line="360" w:lineRule="auto"/>
        <w:ind w:left="437" w:leftChars="208" w:firstLine="11" w:firstLineChars="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中标人接到中标（成交）通知书后，在规定时间内借故否认已经承诺的条件而拒签合同的，以违约处理。</w:t>
      </w:r>
    </w:p>
    <w:p w14:paraId="3F9A2603">
      <w:pPr>
        <w:numPr>
          <w:ilvl w:val="0"/>
          <w:numId w:val="26"/>
        </w:numPr>
        <w:tabs>
          <w:tab w:val="clear" w:pos="420"/>
        </w:tabs>
        <w:overflowPunct w:val="0"/>
        <w:spacing w:line="360" w:lineRule="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合同履行时更改采购数量的权利</w:t>
      </w:r>
    </w:p>
    <w:p w14:paraId="6360DB5A">
      <w:pPr>
        <w:spacing w:line="360" w:lineRule="auto"/>
        <w:ind w:left="437" w:leftChars="208" w:firstLine="12" w:firstLineChars="5"/>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在合同履行中，采购人需追加与合同标的相同服务的，在不改变合同其他条款的前提下，可以与投标人协商签订补充合同，但所有补充合同的采购金额不得超过原采购合同金额的百分之十。</w:t>
      </w:r>
    </w:p>
    <w:p w14:paraId="3B96211D">
      <w:pPr>
        <w:numPr>
          <w:ilvl w:val="0"/>
          <w:numId w:val="26"/>
        </w:numPr>
        <w:tabs>
          <w:tab w:val="clear" w:pos="420"/>
        </w:tabs>
        <w:overflowPunct w:val="0"/>
        <w:spacing w:line="360" w:lineRule="auto"/>
        <w:rPr>
          <w:rFonts w:hint="eastAsia" w:ascii="宋体" w:hAnsi="宋体" w:cs="宋体"/>
          <w:b/>
          <w:color w:val="auto"/>
          <w:sz w:val="22"/>
          <w:highlight w:val="none"/>
        </w:rPr>
      </w:pPr>
      <w:r>
        <w:rPr>
          <w:rFonts w:hint="eastAsia" w:ascii="宋体" w:hAnsi="宋体" w:cs="宋体"/>
          <w:b/>
          <w:color w:val="auto"/>
          <w:sz w:val="22"/>
          <w:highlight w:val="none"/>
        </w:rPr>
        <w:t>质疑与投诉</w:t>
      </w:r>
    </w:p>
    <w:p w14:paraId="714F0839">
      <w:pPr>
        <w:spacing w:line="360" w:lineRule="auto"/>
        <w:ind w:left="431" w:hanging="431" w:hangingChars="195"/>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5.1</w:t>
      </w:r>
      <w:r>
        <w:rPr>
          <w:rFonts w:hint="eastAsia" w:ascii="宋体" w:hAnsi="宋体" w:cs="宋体"/>
          <w:b/>
          <w:bCs/>
          <w:color w:val="auto"/>
          <w:sz w:val="22"/>
          <w:szCs w:val="22"/>
          <w:highlight w:val="none"/>
        </w:rPr>
        <w:t>投标人认为采购文件使自己的权益受到损害的，</w:t>
      </w:r>
      <w:r>
        <w:rPr>
          <w:rFonts w:ascii="新宋体" w:hAnsi="新宋体" w:eastAsia="新宋体" w:cs="新宋体"/>
          <w:b/>
          <w:bCs/>
          <w:color w:val="auto"/>
          <w:sz w:val="22"/>
          <w:szCs w:val="22"/>
          <w:highlight w:val="none"/>
          <w:u w:val="single"/>
        </w:rPr>
        <w:t>可以自采购公告发出之日（采购公告发布当天不算）起</w:t>
      </w:r>
      <w:r>
        <w:rPr>
          <w:rFonts w:hint="eastAsia" w:ascii="新宋体" w:hAnsi="新宋体" w:eastAsia="新宋体" w:cs="新宋体"/>
          <w:b/>
          <w:bCs/>
          <w:color w:val="auto"/>
          <w:sz w:val="22"/>
          <w:szCs w:val="22"/>
          <w:highlight w:val="none"/>
          <w:u w:val="single"/>
        </w:rPr>
        <w:t>6日内，以书面形式向采购人和采购代理机构提出质疑</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u w:val="single"/>
        </w:rPr>
        <w:t>逾期提出的，采购组织机构可以不予受理、答复。</w:t>
      </w:r>
      <w:r>
        <w:rPr>
          <w:rFonts w:hint="eastAsia" w:ascii="宋体" w:hAnsi="宋体" w:cs="宋体"/>
          <w:b/>
          <w:bCs/>
          <w:color w:val="auto"/>
          <w:sz w:val="22"/>
          <w:szCs w:val="22"/>
          <w:highlight w:val="none"/>
        </w:rPr>
        <w:t>[潜在投标人按照本公告规定方式获取采购文件，未按照规定方式获取采购文件的，不得对采购文件提起质疑投诉。]</w:t>
      </w:r>
      <w:r>
        <w:rPr>
          <w:rFonts w:hint="eastAsia" w:ascii="宋体" w:hAnsi="宋体" w:cs="宋体"/>
          <w:b/>
          <w:bCs/>
          <w:color w:val="auto"/>
          <w:kern w:val="0"/>
          <w:sz w:val="22"/>
          <w:szCs w:val="22"/>
          <w:highlight w:val="none"/>
        </w:rPr>
        <w:t>。</w:t>
      </w:r>
    </w:p>
    <w:p w14:paraId="199E4A38">
      <w:pPr>
        <w:spacing w:line="360" w:lineRule="auto"/>
        <w:ind w:left="431" w:hanging="431" w:hangingChars="195"/>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5.2</w:t>
      </w:r>
      <w:r>
        <w:rPr>
          <w:rFonts w:hint="eastAsia" w:ascii="宋体" w:hAnsi="宋体" w:cs="宋体"/>
          <w:b/>
          <w:bCs/>
          <w:color w:val="auto"/>
          <w:sz w:val="22"/>
          <w:szCs w:val="22"/>
          <w:highlight w:val="none"/>
        </w:rPr>
        <w:t>投标人代表认为评审过程有疑义，以及认为采购人、采购代理机构相关工作人员有需要回避的情形的，应当场提出询问或者回避申请。采购人、采购代理机构对投标人代表提出的询问或者回避申请应当及时处理。未当场提出的疑义，视为对投标过程无疑义，投标结束后不得对投标过程提出质疑。</w:t>
      </w:r>
    </w:p>
    <w:p w14:paraId="18B4A6E4">
      <w:pPr>
        <w:spacing w:line="360" w:lineRule="auto"/>
        <w:ind w:left="431" w:hanging="431" w:hangingChars="195"/>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5.3各投标人对成交结果如有质疑，可在公告期内以书面形式向采购人或者采购代理机构提出质疑，但需对质疑内容的真实性承担法律责任。</w:t>
      </w:r>
    </w:p>
    <w:p w14:paraId="4F8B811B">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5.4采购人在收到投标人的书面质疑后7个工作日内作出答复，但答复的内容不得涉及商业秘密。质疑投标人对采购人的答复不满意，可以在答复期满后15个工作日内向采购监督管理部门投诉。</w:t>
      </w:r>
    </w:p>
    <w:p w14:paraId="6CA0D0C4">
      <w:pPr>
        <w:numPr>
          <w:ilvl w:val="0"/>
          <w:numId w:val="26"/>
        </w:numPr>
        <w:tabs>
          <w:tab w:val="clear" w:pos="420"/>
        </w:tabs>
        <w:overflowPunct w:val="0"/>
        <w:spacing w:line="360" w:lineRule="auto"/>
        <w:rPr>
          <w:rFonts w:hint="eastAsia" w:ascii="宋体" w:hAnsi="宋体" w:cs="宋体"/>
          <w:color w:val="auto"/>
          <w:spacing w:val="6"/>
          <w:sz w:val="22"/>
          <w:szCs w:val="22"/>
          <w:highlight w:val="none"/>
        </w:rPr>
      </w:pPr>
      <w:r>
        <w:rPr>
          <w:rFonts w:hint="eastAsia" w:ascii="宋体" w:hAnsi="宋体" w:cs="宋体"/>
          <w:b/>
          <w:bCs/>
          <w:color w:val="auto"/>
          <w:sz w:val="22"/>
          <w:szCs w:val="22"/>
          <w:highlight w:val="none"/>
        </w:rPr>
        <w:t>采购代理服务费</w:t>
      </w:r>
    </w:p>
    <w:p w14:paraId="57A842C0">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6.1本次采购代理服务费详见《投标人须知前附表》，由中标人支付，并在领取中标通知书之前支付给采购代理机构。采购代理服务费可以是现金、支票或汇票。</w:t>
      </w:r>
    </w:p>
    <w:p w14:paraId="10C81A81">
      <w:pPr>
        <w:numPr>
          <w:ilvl w:val="0"/>
          <w:numId w:val="26"/>
        </w:numPr>
        <w:tabs>
          <w:tab w:val="clear" w:pos="420"/>
        </w:tabs>
        <w:overflowPunct w:val="0"/>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乐采云技术服务费</w:t>
      </w:r>
    </w:p>
    <w:p w14:paraId="2E385A5A">
      <w:pPr>
        <w:spacing w:line="360" w:lineRule="auto"/>
        <w:ind w:left="429" w:hanging="429" w:hangingChars="195"/>
        <w:rPr>
          <w:rFonts w:hint="eastAsia" w:ascii="宋体" w:hAnsi="宋体" w:cs="宋体"/>
          <w:color w:val="auto"/>
          <w:kern w:val="0"/>
          <w:sz w:val="22"/>
          <w:szCs w:val="22"/>
          <w:highlight w:val="none"/>
        </w:rPr>
      </w:pPr>
      <w:r>
        <w:rPr>
          <w:rFonts w:hint="eastAsia" w:ascii="宋体" w:hAnsi="宋体" w:cs="宋体"/>
          <w:color w:val="auto"/>
          <w:sz w:val="22"/>
          <w:szCs w:val="22"/>
          <w:highlight w:val="none"/>
        </w:rPr>
        <w:t>7</w:t>
      </w:r>
      <w:r>
        <w:rPr>
          <w:rFonts w:hint="eastAsia" w:ascii="宋体" w:hAnsi="宋体" w:cs="宋体"/>
          <w:color w:val="auto"/>
          <w:kern w:val="0"/>
          <w:sz w:val="22"/>
          <w:szCs w:val="22"/>
          <w:highlight w:val="none"/>
        </w:rPr>
        <w:t>.1乐采云国企采购平台项目采购收费标准(温州市市属国企区）收费标准：</w:t>
      </w:r>
    </w:p>
    <w:p w14:paraId="598B5AA9">
      <w:pPr>
        <w:spacing w:line="360" w:lineRule="auto"/>
        <w:ind w:left="429" w:leftChars="200" w:hanging="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（1）a.不涉及具体金额的采购项目，技术服务费800元/件；b. 涉及具体金额的采购项目，根据标的额，按照以下比例收取技术服务费中标价100万元以下 (含100万元的) 按800元收取；c.中标价超过100万元的按中标价的千分之一(0.1%) ，以30000元封顶。</w:t>
      </w:r>
    </w:p>
    <w:p w14:paraId="36F58A84">
      <w:pPr>
        <w:spacing w:line="360" w:lineRule="auto"/>
        <w:ind w:left="429" w:leftChars="200" w:hanging="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（2）收费对象：中标人</w:t>
      </w:r>
    </w:p>
    <w:p w14:paraId="515CB382">
      <w:pPr>
        <w:spacing w:line="360" w:lineRule="auto"/>
        <w:ind w:left="429" w:leftChars="200" w:hanging="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（3）缴款内容及时间：各投标人于每次中标结果公示后支付该项目的技术服务费。</w:t>
      </w:r>
    </w:p>
    <w:p w14:paraId="11E427D0">
      <w:pPr>
        <w:pStyle w:val="16"/>
        <w:rPr>
          <w:rFonts w:hint="eastAsia"/>
          <w:color w:val="auto"/>
          <w:highlight w:val="none"/>
        </w:rPr>
      </w:pPr>
    </w:p>
    <w:p w14:paraId="24D3A6F5">
      <w:pPr>
        <w:tabs>
          <w:tab w:val="left" w:pos="540"/>
        </w:tabs>
        <w:spacing w:line="460" w:lineRule="exact"/>
        <w:jc w:val="center"/>
        <w:rPr>
          <w:rFonts w:hint="eastAsia" w:ascii="宋体" w:hAnsi="宋体"/>
          <w:color w:val="auto"/>
          <w:sz w:val="22"/>
          <w:szCs w:val="22"/>
          <w:highlight w:val="none"/>
        </w:rPr>
      </w:pPr>
      <w:r>
        <w:rPr>
          <w:rFonts w:hint="eastAsia" w:ascii="宋体" w:hAnsi="宋体" w:cs="宋体"/>
          <w:color w:val="auto"/>
          <w:sz w:val="22"/>
          <w:szCs w:val="22"/>
          <w:highlight w:val="none"/>
        </w:rPr>
        <w:br w:type="page"/>
      </w:r>
      <w:bookmarkStart w:id="118" w:name="_Toc1990"/>
      <w:bookmarkStart w:id="119" w:name="_Toc239145357"/>
      <w:bookmarkStart w:id="120" w:name="_Toc262049421"/>
      <w:bookmarkStart w:id="121" w:name="_Toc249758715"/>
      <w:bookmarkStart w:id="122" w:name="_Toc221356890"/>
      <w:bookmarkStart w:id="123" w:name="_Toc262105506"/>
      <w:bookmarkStart w:id="124" w:name="_Toc223716001"/>
      <w:bookmarkStart w:id="125" w:name="_Toc245191317"/>
      <w:bookmarkStart w:id="126" w:name="_Toc245722284"/>
      <w:bookmarkStart w:id="127" w:name="_Toc221374629"/>
      <w:bookmarkStart w:id="128" w:name="_Toc241404205"/>
      <w:bookmarkStart w:id="129" w:name="_Toc221356954"/>
      <w:bookmarkStart w:id="130" w:name="_Toc249758867"/>
      <w:bookmarkStart w:id="131" w:name="_Toc246261268"/>
      <w:bookmarkStart w:id="132" w:name="_Toc221423622"/>
      <w:bookmarkStart w:id="133" w:name="_Toc222114882"/>
      <w:r>
        <w:rPr>
          <w:rStyle w:val="42"/>
          <w:rFonts w:hint="eastAsia" w:ascii="宋体" w:hAnsi="宋体" w:eastAsia="宋体" w:cs="宋体"/>
          <w:color w:val="auto"/>
          <w:sz w:val="36"/>
          <w:szCs w:val="36"/>
          <w:highlight w:val="none"/>
        </w:rPr>
        <w:t>第二部分   采购内容及要求</w:t>
      </w:r>
      <w:bookmarkEnd w:id="118"/>
      <w:bookmarkStart w:id="134" w:name="_Toc168376760"/>
      <w:bookmarkStart w:id="135" w:name="_Toc195098605"/>
      <w:bookmarkStart w:id="136" w:name="_Toc263083259"/>
      <w:bookmarkStart w:id="137" w:name="_Toc177451498"/>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161BE27">
      <w:pPr>
        <w:autoSpaceDE w:val="0"/>
        <w:autoSpaceDN w:val="0"/>
        <w:adjustRightInd w:val="0"/>
        <w:snapToGrid w:val="0"/>
        <w:spacing w:line="440" w:lineRule="exact"/>
        <w:jc w:val="left"/>
        <w:textAlignment w:val="bottom"/>
        <w:rPr>
          <w:rFonts w:hint="eastAsia" w:ascii="宋体" w:hAnsi="宋体" w:cs="宋体"/>
          <w:b/>
          <w:color w:val="auto"/>
          <w:sz w:val="22"/>
          <w:szCs w:val="22"/>
          <w:highlight w:val="none"/>
        </w:rPr>
      </w:pPr>
      <w:bookmarkStart w:id="138" w:name="_Toc241404207"/>
      <w:bookmarkStart w:id="139" w:name="_Toc246261270"/>
      <w:bookmarkStart w:id="140" w:name="_Toc221356892"/>
      <w:bookmarkStart w:id="141" w:name="_Toc249758870"/>
      <w:bookmarkStart w:id="142" w:name="_Toc245722286"/>
      <w:bookmarkStart w:id="143" w:name="_Toc222114884"/>
      <w:bookmarkStart w:id="144" w:name="_Toc262049424"/>
      <w:bookmarkStart w:id="145" w:name="_Toc262105509"/>
      <w:bookmarkStart w:id="146" w:name="_Toc245191319"/>
      <w:bookmarkStart w:id="147" w:name="_Toc249758718"/>
      <w:bookmarkStart w:id="148" w:name="_Toc221356956"/>
      <w:bookmarkStart w:id="149" w:name="_Toc239145359"/>
      <w:bookmarkStart w:id="150" w:name="_Toc221374631"/>
      <w:bookmarkStart w:id="151" w:name="_Toc223716003"/>
      <w:bookmarkStart w:id="152" w:name="_Toc249758719"/>
      <w:bookmarkStart w:id="153" w:name="_Toc221423624"/>
      <w:r>
        <w:rPr>
          <w:rFonts w:hint="eastAsia" w:ascii="宋体" w:hAnsi="宋体" w:cs="宋体"/>
          <w:b/>
          <w:color w:val="auto"/>
          <w:sz w:val="22"/>
          <w:szCs w:val="22"/>
          <w:highlight w:val="none"/>
        </w:rPr>
        <w:t>一、采购说明</w:t>
      </w:r>
    </w:p>
    <w:p w14:paraId="530CC74B">
      <w:pPr>
        <w:numPr>
          <w:ilvl w:val="0"/>
          <w:numId w:val="27"/>
        </w:num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本次采购为</w:t>
      </w:r>
      <w:r>
        <w:rPr>
          <w:rFonts w:hint="eastAsia" w:ascii="宋体" w:hAnsi="宋体" w:cs="宋体"/>
          <w:color w:val="auto"/>
          <w:sz w:val="22"/>
          <w:szCs w:val="22"/>
          <w:highlight w:val="none"/>
          <w:lang w:eastAsia="zh-CN"/>
        </w:rPr>
        <w:t>蓝牌登高车</w:t>
      </w:r>
      <w:r>
        <w:rPr>
          <w:rFonts w:hint="eastAsia" w:ascii="宋体" w:hAnsi="宋体" w:cs="宋体"/>
          <w:color w:val="auto"/>
          <w:sz w:val="22"/>
          <w:szCs w:val="22"/>
          <w:highlight w:val="none"/>
        </w:rPr>
        <w:t>采购。产品的提供及相应的技术、售后服务，需满足本采购文件及相关标准、规范的要求。</w:t>
      </w:r>
    </w:p>
    <w:p w14:paraId="7285A868">
      <w:pPr>
        <w:numPr>
          <w:ilvl w:val="0"/>
          <w:numId w:val="27"/>
        </w:num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方应根据采购文件所提出的产品技术规格、参数、数量和服务要求，综合考虑产品的适应性，选择具有最佳性能价格比的产品前来投标。希望投标方以精良的产品、优良的服务和优惠的价格，充分显示自身的竞争实力。</w:t>
      </w:r>
    </w:p>
    <w:p w14:paraId="196AD01D">
      <w:pPr>
        <w:numPr>
          <w:ilvl w:val="0"/>
          <w:numId w:val="27"/>
        </w:num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投标方须对采购文件中涉及到的知识产权负责，并保证不伤害业主的利益。在法律范围内，所有文字、商标和技术侵权造成的相关费用，业主概不负责。</w:t>
      </w:r>
    </w:p>
    <w:p w14:paraId="1CCF58DF">
      <w:pPr>
        <w:autoSpaceDE w:val="0"/>
        <w:autoSpaceDN w:val="0"/>
        <w:adjustRightInd w:val="0"/>
        <w:snapToGrid w:val="0"/>
        <w:spacing w:line="440" w:lineRule="exact"/>
        <w:jc w:val="left"/>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二、采购内容及要求</w:t>
      </w:r>
    </w:p>
    <w:p w14:paraId="2000E74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1、采购内容清单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3427"/>
        <w:gridCol w:w="2440"/>
        <w:gridCol w:w="2268"/>
        <w:gridCol w:w="1048"/>
      </w:tblGrid>
      <w:tr w14:paraId="763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1" w:type="dxa"/>
            <w:noWrap w:val="0"/>
            <w:vAlign w:val="center"/>
          </w:tcPr>
          <w:p w14:paraId="02ADAE8F">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3427" w:type="dxa"/>
            <w:noWrap w:val="0"/>
            <w:vAlign w:val="center"/>
          </w:tcPr>
          <w:p w14:paraId="641E924D">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商品名称</w:t>
            </w:r>
          </w:p>
        </w:tc>
        <w:tc>
          <w:tcPr>
            <w:tcW w:w="2440" w:type="dxa"/>
            <w:noWrap w:val="0"/>
            <w:vAlign w:val="center"/>
          </w:tcPr>
          <w:p w14:paraId="23739F13">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268" w:type="dxa"/>
            <w:noWrap w:val="0"/>
            <w:vAlign w:val="center"/>
          </w:tcPr>
          <w:p w14:paraId="7B1FDD16">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单位</w:t>
            </w:r>
          </w:p>
        </w:tc>
        <w:tc>
          <w:tcPr>
            <w:tcW w:w="1048" w:type="dxa"/>
            <w:noWrap w:val="0"/>
            <w:vAlign w:val="center"/>
          </w:tcPr>
          <w:p w14:paraId="7FA4BFAC">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73AD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1" w:type="dxa"/>
            <w:noWrap w:val="0"/>
            <w:vAlign w:val="center"/>
          </w:tcPr>
          <w:p w14:paraId="439F2C76">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427" w:type="dxa"/>
            <w:noWrap w:val="0"/>
            <w:vAlign w:val="center"/>
          </w:tcPr>
          <w:p w14:paraId="56FAA1A1">
            <w:pPr>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蓝</w:t>
            </w:r>
            <w:r>
              <w:rPr>
                <w:rFonts w:hint="eastAsia" w:ascii="宋体" w:hAnsi="宋体" w:eastAsia="宋体" w:cs="宋体"/>
                <w:color w:val="auto"/>
                <w:sz w:val="22"/>
                <w:szCs w:val="22"/>
                <w:highlight w:val="none"/>
              </w:rPr>
              <w:t>牌</w:t>
            </w:r>
            <w:r>
              <w:rPr>
                <w:rFonts w:hint="eastAsia" w:ascii="宋体" w:hAnsi="宋体" w:cs="宋体"/>
                <w:color w:val="auto"/>
                <w:sz w:val="22"/>
                <w:szCs w:val="22"/>
                <w:highlight w:val="none"/>
                <w:lang w:val="en-US" w:eastAsia="zh-CN"/>
              </w:rPr>
              <w:t>登高车</w:t>
            </w:r>
          </w:p>
        </w:tc>
        <w:tc>
          <w:tcPr>
            <w:tcW w:w="2440" w:type="dxa"/>
            <w:noWrap w:val="0"/>
            <w:vAlign w:val="center"/>
          </w:tcPr>
          <w:p w14:paraId="515B00CB">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268" w:type="dxa"/>
            <w:noWrap w:val="0"/>
            <w:vAlign w:val="center"/>
          </w:tcPr>
          <w:p w14:paraId="314950BC">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辆</w:t>
            </w:r>
          </w:p>
        </w:tc>
        <w:tc>
          <w:tcPr>
            <w:tcW w:w="1048" w:type="dxa"/>
            <w:noWrap w:val="0"/>
            <w:vAlign w:val="center"/>
          </w:tcPr>
          <w:p w14:paraId="506125E0">
            <w:pPr>
              <w:spacing w:line="440" w:lineRule="exact"/>
              <w:jc w:val="center"/>
              <w:rPr>
                <w:rFonts w:hint="eastAsia" w:ascii="宋体" w:hAnsi="宋体" w:eastAsia="宋体" w:cs="宋体"/>
                <w:color w:val="auto"/>
                <w:sz w:val="22"/>
                <w:szCs w:val="22"/>
                <w:highlight w:val="none"/>
              </w:rPr>
            </w:pPr>
          </w:p>
        </w:tc>
      </w:tr>
    </w:tbl>
    <w:p w14:paraId="770841A8">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2、技术参数(主要参数)及要求</w:t>
      </w:r>
    </w:p>
    <w:p w14:paraId="4E8B3DEA">
      <w:pPr>
        <w:tabs>
          <w:tab w:val="left" w:pos="360"/>
        </w:tabs>
        <w:spacing w:line="460" w:lineRule="exact"/>
        <w:ind w:firstLine="221" w:firstLineChars="100"/>
        <w:rPr>
          <w:rFonts w:hint="eastAsia" w:ascii="宋体" w:hAnsi="宋体"/>
          <w:b/>
          <w:color w:val="auto"/>
          <w:sz w:val="22"/>
          <w:highlight w:val="none"/>
        </w:rPr>
      </w:pPr>
      <w:r>
        <w:rPr>
          <w:rFonts w:hint="eastAsia" w:ascii="宋体" w:hAnsi="宋体"/>
          <w:b/>
          <w:color w:val="auto"/>
          <w:sz w:val="22"/>
          <w:highlight w:val="none"/>
        </w:rPr>
        <w:t>2.1登高车技术</w:t>
      </w:r>
      <w:r>
        <w:rPr>
          <w:rFonts w:ascii="宋体" w:hAnsi="宋体"/>
          <w:b/>
          <w:color w:val="auto"/>
          <w:sz w:val="22"/>
          <w:highlight w:val="none"/>
        </w:rPr>
        <w:t>参数配置</w:t>
      </w:r>
    </w:p>
    <w:tbl>
      <w:tblPr>
        <w:tblStyle w:val="34"/>
        <w:tblW w:w="497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7"/>
        <w:gridCol w:w="2821"/>
        <w:gridCol w:w="6065"/>
      </w:tblGrid>
      <w:tr w14:paraId="35B6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exact"/>
          <w:jc w:val="center"/>
        </w:trPr>
        <w:tc>
          <w:tcPr>
            <w:tcW w:w="472" w:type="pct"/>
            <w:noWrap w:val="0"/>
            <w:vAlign w:val="center"/>
          </w:tcPr>
          <w:p w14:paraId="5B87C80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437" w:type="pct"/>
            <w:noWrap w:val="0"/>
            <w:vAlign w:val="center"/>
          </w:tcPr>
          <w:p w14:paraId="21DEFA0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3089" w:type="pct"/>
            <w:noWrap w:val="0"/>
            <w:vAlign w:val="center"/>
          </w:tcPr>
          <w:p w14:paraId="108D2C3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技术要求</w:t>
            </w:r>
          </w:p>
        </w:tc>
      </w:tr>
      <w:tr w14:paraId="3379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472" w:type="pct"/>
            <w:noWrap w:val="0"/>
            <w:vAlign w:val="center"/>
          </w:tcPr>
          <w:p w14:paraId="35F243F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437" w:type="pct"/>
            <w:noWrap w:val="0"/>
            <w:vAlign w:val="center"/>
          </w:tcPr>
          <w:p w14:paraId="3C2BD2DB">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排放标准</w:t>
            </w:r>
          </w:p>
        </w:tc>
        <w:tc>
          <w:tcPr>
            <w:tcW w:w="3089" w:type="pct"/>
            <w:noWrap w:val="0"/>
            <w:vAlign w:val="center"/>
          </w:tcPr>
          <w:p w14:paraId="39D42070">
            <w:pPr>
              <w:shd w:val="solid" w:color="FFFFFF" w:fill="auto"/>
              <w:autoSpaceDN w:val="0"/>
              <w:spacing w:line="420" w:lineRule="atLeas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shd w:val="clear" w:color="auto" w:fill="FFFFFF"/>
              </w:rPr>
              <w:t>国六</w:t>
            </w:r>
            <w:r>
              <w:rPr>
                <w:rFonts w:hint="eastAsia" w:ascii="宋体" w:hAnsi="宋体" w:cs="宋体"/>
                <w:color w:val="auto"/>
                <w:sz w:val="22"/>
                <w:szCs w:val="22"/>
                <w:highlight w:val="none"/>
                <w:shd w:val="clear" w:color="auto" w:fill="FFFFFF"/>
                <w:lang w:val="en-US" w:eastAsia="zh-CN"/>
              </w:rPr>
              <w:t>及以上</w:t>
            </w:r>
          </w:p>
        </w:tc>
      </w:tr>
      <w:tr w14:paraId="4F87B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472" w:type="pct"/>
            <w:noWrap w:val="0"/>
            <w:vAlign w:val="center"/>
          </w:tcPr>
          <w:p w14:paraId="3441D175">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437" w:type="pct"/>
            <w:noWrap w:val="0"/>
            <w:vAlign w:val="center"/>
          </w:tcPr>
          <w:p w14:paraId="19D5DF0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发动机</w:t>
            </w:r>
          </w:p>
        </w:tc>
        <w:tc>
          <w:tcPr>
            <w:tcW w:w="3089" w:type="pct"/>
            <w:noWrap w:val="0"/>
            <w:vAlign w:val="center"/>
          </w:tcPr>
          <w:p w14:paraId="65FBF4D9">
            <w:pPr>
              <w:shd w:val="solid" w:color="FFFFFF" w:fill="auto"/>
              <w:autoSpaceDN w:val="0"/>
              <w:spacing w:line="42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功率：</w:t>
            </w:r>
            <w:r>
              <w:rPr>
                <w:rFonts w:hint="default" w:ascii="宋体" w:hAnsi="宋体" w:cs="宋体"/>
                <w:color w:val="auto"/>
                <w:sz w:val="22"/>
                <w:szCs w:val="22"/>
                <w:highlight w:val="none"/>
                <w:shd w:val="clear" w:color="auto" w:fill="FFFFFF"/>
                <w:lang w:val="en-US" w:eastAsia="zh-CN"/>
              </w:rPr>
              <w:t>≥</w:t>
            </w:r>
            <w:r>
              <w:rPr>
                <w:rFonts w:hint="eastAsia" w:ascii="宋体" w:hAnsi="宋体" w:cs="宋体"/>
                <w:color w:val="auto"/>
                <w:sz w:val="22"/>
                <w:szCs w:val="22"/>
                <w:highlight w:val="none"/>
                <w:shd w:val="clear" w:color="auto" w:fill="FFFFFF"/>
                <w:lang w:val="en-US" w:eastAsia="zh-CN"/>
              </w:rPr>
              <w:t>88千瓦</w:t>
            </w:r>
          </w:p>
        </w:tc>
      </w:tr>
      <w:tr w14:paraId="135D5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72" w:type="pct"/>
            <w:vMerge w:val="restart"/>
            <w:noWrap w:val="0"/>
            <w:vAlign w:val="center"/>
          </w:tcPr>
          <w:p w14:paraId="3B0ABC21">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1437" w:type="pct"/>
            <w:vMerge w:val="restart"/>
            <w:noWrap w:val="0"/>
            <w:vAlign w:val="center"/>
          </w:tcPr>
          <w:p w14:paraId="0196F6ED">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驾驶室</w:t>
            </w:r>
          </w:p>
        </w:tc>
        <w:tc>
          <w:tcPr>
            <w:tcW w:w="3089" w:type="pct"/>
            <w:noWrap w:val="0"/>
            <w:vAlign w:val="center"/>
          </w:tcPr>
          <w:p w14:paraId="30DDDCDC">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双排驾驶室带原装空调</w:t>
            </w:r>
          </w:p>
        </w:tc>
      </w:tr>
      <w:tr w14:paraId="30222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continue"/>
            <w:noWrap w:val="0"/>
            <w:vAlign w:val="center"/>
          </w:tcPr>
          <w:p w14:paraId="3C1209F8">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1961531C">
            <w:pPr>
              <w:spacing w:line="440" w:lineRule="exact"/>
              <w:jc w:val="center"/>
              <w:rPr>
                <w:rFonts w:ascii="宋体" w:hAnsi="宋体" w:cs="宋体"/>
                <w:color w:val="auto"/>
                <w:sz w:val="22"/>
                <w:szCs w:val="22"/>
                <w:highlight w:val="none"/>
              </w:rPr>
            </w:pPr>
          </w:p>
        </w:tc>
        <w:tc>
          <w:tcPr>
            <w:tcW w:w="3089" w:type="pct"/>
            <w:noWrap w:val="0"/>
            <w:vAlign w:val="center"/>
          </w:tcPr>
          <w:p w14:paraId="55D983C3">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方向带助力</w:t>
            </w:r>
          </w:p>
        </w:tc>
      </w:tr>
      <w:tr w14:paraId="4F33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472" w:type="pct"/>
            <w:vMerge w:val="restart"/>
            <w:noWrap w:val="0"/>
            <w:vAlign w:val="center"/>
          </w:tcPr>
          <w:p w14:paraId="74687608">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437" w:type="pct"/>
            <w:vMerge w:val="restart"/>
            <w:noWrap w:val="0"/>
            <w:vAlign w:val="center"/>
          </w:tcPr>
          <w:p w14:paraId="366A75A1">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工作斗</w:t>
            </w:r>
          </w:p>
        </w:tc>
        <w:tc>
          <w:tcPr>
            <w:tcW w:w="3089" w:type="pct"/>
            <w:noWrap w:val="0"/>
            <w:vAlign w:val="center"/>
          </w:tcPr>
          <w:p w14:paraId="1F875D9C">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工作斗额定载质量</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120kg</w:t>
            </w:r>
          </w:p>
        </w:tc>
      </w:tr>
      <w:tr w14:paraId="06AF7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472" w:type="pct"/>
            <w:vMerge w:val="continue"/>
            <w:noWrap w:val="0"/>
            <w:vAlign w:val="center"/>
          </w:tcPr>
          <w:p w14:paraId="5DB66A0E">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2E808580">
            <w:pPr>
              <w:spacing w:line="440" w:lineRule="exact"/>
              <w:jc w:val="center"/>
              <w:rPr>
                <w:rFonts w:ascii="宋体" w:hAnsi="宋体" w:cs="宋体"/>
                <w:color w:val="auto"/>
                <w:sz w:val="22"/>
                <w:szCs w:val="22"/>
                <w:highlight w:val="none"/>
              </w:rPr>
            </w:pPr>
          </w:p>
        </w:tc>
        <w:tc>
          <w:tcPr>
            <w:tcW w:w="3089" w:type="pct"/>
            <w:noWrap w:val="0"/>
            <w:vAlign w:val="center"/>
          </w:tcPr>
          <w:p w14:paraId="056D7957">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工作斗最大作业高度</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9米</w:t>
            </w:r>
          </w:p>
        </w:tc>
      </w:tr>
      <w:tr w14:paraId="298A8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72" w:type="pct"/>
            <w:vMerge w:val="continue"/>
            <w:noWrap w:val="0"/>
            <w:vAlign w:val="center"/>
          </w:tcPr>
          <w:p w14:paraId="34334F82">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18E9C2E9">
            <w:pPr>
              <w:spacing w:line="440" w:lineRule="exact"/>
              <w:jc w:val="center"/>
              <w:rPr>
                <w:rFonts w:ascii="宋体" w:hAnsi="宋体" w:cs="宋体"/>
                <w:color w:val="auto"/>
                <w:sz w:val="22"/>
                <w:szCs w:val="22"/>
                <w:highlight w:val="none"/>
              </w:rPr>
            </w:pPr>
          </w:p>
        </w:tc>
        <w:tc>
          <w:tcPr>
            <w:tcW w:w="3089" w:type="pct"/>
            <w:noWrap w:val="0"/>
            <w:vAlign w:val="center"/>
          </w:tcPr>
          <w:p w14:paraId="2650A9B3">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最大作业幅度(半径)</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4米</w:t>
            </w:r>
          </w:p>
        </w:tc>
      </w:tr>
      <w:tr w14:paraId="5973B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72" w:type="pct"/>
            <w:vMerge w:val="continue"/>
            <w:noWrap w:val="0"/>
            <w:vAlign w:val="center"/>
          </w:tcPr>
          <w:p w14:paraId="5EA68FB7">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1B2D38FE">
            <w:pPr>
              <w:spacing w:line="440" w:lineRule="exact"/>
              <w:jc w:val="center"/>
              <w:rPr>
                <w:rFonts w:ascii="宋体" w:hAnsi="宋体" w:cs="宋体"/>
                <w:color w:val="auto"/>
                <w:sz w:val="22"/>
                <w:szCs w:val="22"/>
                <w:highlight w:val="none"/>
              </w:rPr>
            </w:pPr>
          </w:p>
        </w:tc>
        <w:tc>
          <w:tcPr>
            <w:tcW w:w="3089" w:type="pct"/>
            <w:noWrap w:val="0"/>
            <w:vAlign w:val="center"/>
          </w:tcPr>
          <w:p w14:paraId="6615F8BE">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升降折叠臂</w:t>
            </w:r>
          </w:p>
        </w:tc>
      </w:tr>
      <w:tr w14:paraId="6D0B2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72" w:type="pct"/>
            <w:vMerge w:val="continue"/>
            <w:noWrap w:val="0"/>
            <w:vAlign w:val="center"/>
          </w:tcPr>
          <w:p w14:paraId="25CF3E90">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32546A4A">
            <w:pPr>
              <w:spacing w:line="440" w:lineRule="exact"/>
              <w:jc w:val="center"/>
              <w:rPr>
                <w:rFonts w:ascii="宋体" w:hAnsi="宋体" w:cs="宋体"/>
                <w:color w:val="auto"/>
                <w:sz w:val="22"/>
                <w:szCs w:val="22"/>
                <w:highlight w:val="none"/>
              </w:rPr>
            </w:pPr>
          </w:p>
        </w:tc>
        <w:tc>
          <w:tcPr>
            <w:tcW w:w="3089" w:type="pct"/>
            <w:noWrap w:val="0"/>
            <w:vAlign w:val="center"/>
          </w:tcPr>
          <w:p w14:paraId="07BE7E58">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转台操作系统360度全回转</w:t>
            </w:r>
          </w:p>
        </w:tc>
      </w:tr>
      <w:tr w14:paraId="07BCA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2" w:hRule="atLeast"/>
          <w:jc w:val="center"/>
        </w:trPr>
        <w:tc>
          <w:tcPr>
            <w:tcW w:w="472" w:type="pct"/>
            <w:noWrap w:val="0"/>
            <w:vAlign w:val="center"/>
          </w:tcPr>
          <w:p w14:paraId="3776285C">
            <w:pPr>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1437" w:type="pct"/>
            <w:noWrap w:val="0"/>
            <w:vAlign w:val="center"/>
          </w:tcPr>
          <w:p w14:paraId="459E1F5F">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b/>
                <w:bCs/>
                <w:color w:val="auto"/>
                <w:szCs w:val="21"/>
                <w:highlight w:val="none"/>
                <w:u w:val="single"/>
                <w:lang w:val="en-US" w:eastAsia="zh-CN"/>
              </w:rPr>
              <w:t>▲整车外形尺寸</w:t>
            </w:r>
          </w:p>
        </w:tc>
        <w:tc>
          <w:tcPr>
            <w:tcW w:w="3089" w:type="pct"/>
            <w:noWrap w:val="0"/>
            <w:vAlign w:val="center"/>
          </w:tcPr>
          <w:p w14:paraId="16AEB50E">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4</w:t>
            </w:r>
            <w:r>
              <w:rPr>
                <w:rFonts w:hint="eastAsia" w:hAnsi="宋体" w:cs="Times New Roman"/>
                <w:color w:val="auto"/>
                <w:szCs w:val="21"/>
                <w:highlight w:val="none"/>
                <w:lang w:val="en-US" w:eastAsia="zh-CN"/>
              </w:rPr>
              <w:t>920</w:t>
            </w:r>
            <w:r>
              <w:rPr>
                <w:rFonts w:hint="eastAsia" w:ascii="Times New Roman" w:hAnsi="宋体" w:eastAsia="宋体" w:cs="Times New Roman"/>
                <w:color w:val="auto"/>
                <w:szCs w:val="21"/>
                <w:highlight w:val="none"/>
                <w:lang w:val="en-US" w:eastAsia="zh-CN"/>
              </w:rPr>
              <w:t>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长</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49</w:t>
            </w:r>
            <w:r>
              <w:rPr>
                <w:rFonts w:hint="eastAsia" w:hAnsi="宋体" w:cs="Times New Roman"/>
                <w:color w:val="auto"/>
                <w:szCs w:val="21"/>
                <w:highlight w:val="none"/>
                <w:lang w:val="en-US" w:eastAsia="zh-CN"/>
              </w:rPr>
              <w:t>4</w:t>
            </w:r>
            <w:r>
              <w:rPr>
                <w:rFonts w:hint="eastAsia" w:ascii="Times New Roman" w:hAnsi="宋体" w:eastAsia="宋体" w:cs="Times New Roman"/>
                <w:color w:val="auto"/>
                <w:szCs w:val="21"/>
                <w:highlight w:val="none"/>
                <w:lang w:val="en-US" w:eastAsia="zh-CN"/>
              </w:rPr>
              <w:t>0mm、1</w:t>
            </w:r>
            <w:r>
              <w:rPr>
                <w:rFonts w:hint="eastAsia" w:hAnsi="宋体" w:cs="Times New Roman"/>
                <w:color w:val="auto"/>
                <w:szCs w:val="21"/>
                <w:highlight w:val="none"/>
                <w:lang w:val="en-US" w:eastAsia="zh-CN"/>
              </w:rPr>
              <w:t>690</w:t>
            </w:r>
            <w:r>
              <w:rPr>
                <w:rFonts w:hint="eastAsia" w:ascii="Times New Roman" w:hAnsi="宋体" w:eastAsia="宋体" w:cs="Times New Roman"/>
                <w:color w:val="auto"/>
                <w:szCs w:val="21"/>
                <w:highlight w:val="none"/>
                <w:lang w:val="en-US" w:eastAsia="zh-CN"/>
              </w:rPr>
              <w:t>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宽</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1750mm、2700mm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高</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2800mm</w:t>
            </w:r>
          </w:p>
        </w:tc>
      </w:tr>
      <w:tr w14:paraId="01E6F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noWrap w:val="0"/>
            <w:vAlign w:val="center"/>
          </w:tcPr>
          <w:p w14:paraId="76C9C181">
            <w:pPr>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1437" w:type="pct"/>
            <w:noWrap w:val="0"/>
            <w:vAlign w:val="center"/>
          </w:tcPr>
          <w:p w14:paraId="05186C45">
            <w:pPr>
              <w:spacing w:line="440" w:lineRule="exac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汽车轴数</w:t>
            </w:r>
          </w:p>
        </w:tc>
        <w:tc>
          <w:tcPr>
            <w:tcW w:w="3089" w:type="pct"/>
            <w:noWrap w:val="0"/>
            <w:vAlign w:val="center"/>
          </w:tcPr>
          <w:p w14:paraId="182B688F">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二轴</w:t>
            </w:r>
          </w:p>
        </w:tc>
      </w:tr>
      <w:tr w14:paraId="2C026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restart"/>
            <w:noWrap w:val="0"/>
            <w:vAlign w:val="center"/>
          </w:tcPr>
          <w:p w14:paraId="5A235A5D">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437" w:type="pct"/>
            <w:vMerge w:val="restart"/>
            <w:noWrap w:val="0"/>
            <w:vAlign w:val="center"/>
          </w:tcPr>
          <w:p w14:paraId="46B5BFB5">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 xml:space="preserve">     其它功能</w:t>
            </w:r>
          </w:p>
        </w:tc>
        <w:tc>
          <w:tcPr>
            <w:tcW w:w="3089" w:type="pct"/>
            <w:noWrap w:val="0"/>
            <w:vAlign w:val="center"/>
          </w:tcPr>
          <w:p w14:paraId="54D981A2">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车身颜色</w:t>
            </w:r>
            <w:r>
              <w:rPr>
                <w:rFonts w:hint="eastAsia" w:hAnsi="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工程黄</w:t>
            </w:r>
          </w:p>
        </w:tc>
      </w:tr>
      <w:tr w14:paraId="112F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continue"/>
            <w:noWrap w:val="0"/>
            <w:vAlign w:val="center"/>
          </w:tcPr>
          <w:p w14:paraId="625EE787">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4C6DD680">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3089" w:type="pct"/>
            <w:noWrap w:val="0"/>
            <w:vAlign w:val="center"/>
          </w:tcPr>
          <w:p w14:paraId="7B74E16B">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rPr>
              <w:t>▲</w:t>
            </w:r>
            <w:r>
              <w:rPr>
                <w:rFonts w:hint="eastAsia" w:ascii="Times New Roman" w:hAnsi="宋体" w:eastAsia="宋体" w:cs="Times New Roman"/>
                <w:b/>
                <w:bCs w:val="0"/>
                <w:color w:val="auto"/>
                <w:szCs w:val="21"/>
                <w:highlight w:val="none"/>
                <w:u w:val="single"/>
                <w:lang w:val="en-US" w:eastAsia="zh-CN"/>
              </w:rPr>
              <w:t>采用汽车底盘性能要等于或优于QL1040</w:t>
            </w:r>
          </w:p>
        </w:tc>
      </w:tr>
      <w:tr w14:paraId="1D174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continue"/>
            <w:noWrap w:val="0"/>
            <w:vAlign w:val="center"/>
          </w:tcPr>
          <w:p w14:paraId="3681EBF4">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29615FC6">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3089" w:type="pct"/>
            <w:noWrap w:val="0"/>
            <w:vAlign w:val="center"/>
          </w:tcPr>
          <w:p w14:paraId="7947D27A">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lang w:val="en-US" w:eastAsia="zh-CN"/>
              </w:rPr>
              <w:t>*具有前后四支垂直支腿支撑</w:t>
            </w:r>
          </w:p>
        </w:tc>
      </w:tr>
      <w:tr w14:paraId="41C7D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continue"/>
            <w:noWrap w:val="0"/>
            <w:vAlign w:val="center"/>
          </w:tcPr>
          <w:p w14:paraId="096F4746">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3B7D21DB">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3089" w:type="pct"/>
            <w:noWrap w:val="0"/>
            <w:vAlign w:val="center"/>
          </w:tcPr>
          <w:p w14:paraId="1A3A4A3E">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rPr>
              <w:t>▲</w:t>
            </w:r>
            <w:r>
              <w:rPr>
                <w:rFonts w:hint="eastAsia" w:ascii="Times New Roman" w:hAnsi="宋体" w:eastAsia="宋体" w:cs="Times New Roman"/>
                <w:b/>
                <w:bCs w:val="0"/>
                <w:color w:val="auto"/>
                <w:szCs w:val="21"/>
                <w:highlight w:val="none"/>
                <w:u w:val="single"/>
                <w:lang w:val="en-US" w:eastAsia="zh-CN"/>
              </w:rPr>
              <w:t>供应商中标后在15天内交车上牌。</w:t>
            </w:r>
          </w:p>
        </w:tc>
      </w:tr>
      <w:tr w14:paraId="73C04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72" w:type="pct"/>
            <w:vMerge w:val="continue"/>
            <w:noWrap w:val="0"/>
            <w:vAlign w:val="center"/>
          </w:tcPr>
          <w:p w14:paraId="293E3B50">
            <w:pPr>
              <w:spacing w:line="440" w:lineRule="exact"/>
              <w:jc w:val="center"/>
              <w:rPr>
                <w:rFonts w:ascii="宋体" w:hAnsi="宋体" w:cs="宋体"/>
                <w:color w:val="auto"/>
                <w:sz w:val="22"/>
                <w:szCs w:val="22"/>
                <w:highlight w:val="none"/>
              </w:rPr>
            </w:pPr>
          </w:p>
        </w:tc>
        <w:tc>
          <w:tcPr>
            <w:tcW w:w="1437" w:type="pct"/>
            <w:vMerge w:val="continue"/>
            <w:noWrap w:val="0"/>
            <w:vAlign w:val="center"/>
          </w:tcPr>
          <w:p w14:paraId="493C35D0">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3089" w:type="pct"/>
            <w:noWrap w:val="0"/>
            <w:vAlign w:val="center"/>
          </w:tcPr>
          <w:p w14:paraId="6F48256D">
            <w:pPr>
              <w:shd w:val="solid" w:color="FFFFFF" w:fill="auto"/>
              <w:autoSpaceDN w:val="0"/>
              <w:spacing w:line="420" w:lineRule="atLeast"/>
              <w:jc w:val="center"/>
              <w:rPr>
                <w:rFonts w:hint="eastAsia" w:ascii="宋体" w:hAnsi="宋体" w:cs="宋体"/>
                <w:b/>
                <w:bCs w:val="0"/>
                <w:color w:val="auto"/>
                <w:szCs w:val="21"/>
                <w:highlight w:val="none"/>
                <w:u w:val="single"/>
              </w:rPr>
            </w:pPr>
            <w:r>
              <w:rPr>
                <w:rFonts w:hint="eastAsia" w:ascii="Times New Roman" w:hAnsi="宋体" w:eastAsia="宋体" w:cs="Times New Roman"/>
                <w:color w:val="auto"/>
                <w:szCs w:val="21"/>
                <w:highlight w:val="none"/>
                <w:lang w:val="en-US" w:eastAsia="zh-CN"/>
              </w:rPr>
              <w:t>汽车底盘制造时间要在车辆交付使用之日前12个月内。</w:t>
            </w:r>
          </w:p>
        </w:tc>
      </w:tr>
    </w:tbl>
    <w:p w14:paraId="3E63012C">
      <w:pPr>
        <w:spacing w:line="400" w:lineRule="exact"/>
        <w:ind w:firstLine="539" w:firstLineChars="245"/>
        <w:rPr>
          <w:rFonts w:ascii="宋体" w:cs="宋体"/>
          <w:snapToGrid w:val="0"/>
          <w:color w:val="auto"/>
          <w:kern w:val="0"/>
          <w:sz w:val="22"/>
          <w:szCs w:val="22"/>
          <w:highlight w:val="none"/>
        </w:rPr>
      </w:pPr>
      <w:r>
        <w:rPr>
          <w:rFonts w:hint="eastAsia" w:ascii="宋体" w:cs="宋体"/>
          <w:snapToGrid w:val="0"/>
          <w:color w:val="auto"/>
          <w:kern w:val="0"/>
          <w:sz w:val="22"/>
          <w:szCs w:val="22"/>
          <w:highlight w:val="none"/>
        </w:rPr>
        <w:t>2.2综合要求</w:t>
      </w:r>
    </w:p>
    <w:p w14:paraId="6A74DE49">
      <w:pPr>
        <w:numPr>
          <w:ilvl w:val="0"/>
          <w:numId w:val="28"/>
        </w:numPr>
        <w:spacing w:line="400" w:lineRule="exact"/>
        <w:ind w:hanging="5"/>
        <w:rPr>
          <w:rFonts w:hint="eastAsia" w:ascii="宋体" w:hAnsi="宋体"/>
          <w:b/>
          <w:color w:val="auto"/>
          <w:sz w:val="22"/>
          <w:szCs w:val="22"/>
          <w:highlight w:val="none"/>
        </w:rPr>
      </w:pPr>
      <w:r>
        <w:rPr>
          <w:rFonts w:hint="eastAsia" w:ascii="宋体" w:hAnsi="宋体"/>
          <w:b/>
          <w:color w:val="auto"/>
          <w:sz w:val="22"/>
          <w:szCs w:val="22"/>
          <w:highlight w:val="none"/>
        </w:rPr>
        <w:t>以上所列技术参数仅作参考，投标人所投产品必须满足或优于招标文件要求，否则投标文件将被拒绝。</w:t>
      </w:r>
    </w:p>
    <w:p w14:paraId="2612936D">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投标人应对所提车辆的主要配置性能、结构特点、质量水平进行详细的描述。</w:t>
      </w:r>
    </w:p>
    <w:p w14:paraId="0D3B17BC">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车辆的制造标准及设计，制造过程中实行的质量控制手段。</w:t>
      </w:r>
    </w:p>
    <w:p w14:paraId="462482F6">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主要外购外协件质量控制手段，并列表说明其生产厂家、规格、型号，品牌。</w:t>
      </w:r>
    </w:p>
    <w:p w14:paraId="053DB8B3">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详细说明质保期内在浙江省为用户提供售后免费维修服务的保障措施（包括应急反应能力，常用零配件供应和相应的技术支持）及质保期后为用户提供优质服务的承诺。</w:t>
      </w:r>
    </w:p>
    <w:p w14:paraId="5F0F54FA">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油漆的颜色按需方要求。</w:t>
      </w:r>
    </w:p>
    <w:p w14:paraId="4BB59D4C">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整车的检测报告和“产品使用说明书”。</w:t>
      </w:r>
      <w:r>
        <w:rPr>
          <w:rFonts w:hint="eastAsia" w:ascii="宋体" w:hAnsi="宋体"/>
          <w:color w:val="auto"/>
          <w:sz w:val="22"/>
          <w:szCs w:val="22"/>
          <w:highlight w:val="none"/>
        </w:rPr>
        <w:tab/>
      </w:r>
    </w:p>
    <w:p w14:paraId="0038CB65">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随机带的配件和易损件，专用工具清单。</w:t>
      </w:r>
    </w:p>
    <w:p w14:paraId="23444213">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提供车辆验收标准</w:t>
      </w:r>
    </w:p>
    <w:p w14:paraId="38991B28">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随车带的配件和易损件，专用工具清单。</w:t>
      </w:r>
    </w:p>
    <w:p w14:paraId="49B03F8A">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提供整车验收标准</w:t>
      </w:r>
    </w:p>
    <w:p w14:paraId="2FAAAF7C">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验收：必须符合国家规定的质量标准。</w:t>
      </w:r>
    </w:p>
    <w:p w14:paraId="546FD543">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①车辆漆面必须是原厂漆面，应清洁光亮，不得有脱漆、划痕和瘪</w:t>
      </w:r>
    </w:p>
    <w:p w14:paraId="6213542F">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13.1）外观检查窝。</w:t>
      </w:r>
    </w:p>
    <w:p w14:paraId="27732289">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②车辆内部的座椅及其他内饰件应完整、清洁、不得有划伤、污点，使用时应方便、灵活。</w:t>
      </w:r>
    </w:p>
    <w:p w14:paraId="0A94BEDE">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③车辆内、外部的灯光应齐全；空调、音响应完好无损，效果应达到国家标准。</w:t>
      </w:r>
    </w:p>
    <w:p w14:paraId="75056E41">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13.2）车辆行驶过程中，不得有异常响声，制动（包括手制动）转向灵活，有效；汽车的动力性能和经济性能符合设计要求；尾部排放应符合国家标准。</w:t>
      </w:r>
    </w:p>
    <w:p w14:paraId="7B633DFA">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13.3 ）卖方应主动协助采购人对车辆时行检验，查验发动机号，底盘号，交付所有证件、工具和主、副钥匙。</w:t>
      </w:r>
    </w:p>
    <w:p w14:paraId="3C246D66">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13.4）办理汽车市内移动证或临时牌照。</w:t>
      </w:r>
    </w:p>
    <w:p w14:paraId="5EC002F0">
      <w:pPr>
        <w:spacing w:line="40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13.5）协助采购人做好新车的走合保养。</w:t>
      </w:r>
    </w:p>
    <w:p w14:paraId="6283829B">
      <w:pPr>
        <w:numPr>
          <w:ilvl w:val="0"/>
          <w:numId w:val="28"/>
        </w:numPr>
        <w:spacing w:line="400" w:lineRule="exact"/>
        <w:ind w:hanging="5"/>
        <w:rPr>
          <w:rFonts w:hint="eastAsia" w:ascii="宋体" w:hAnsi="宋体"/>
          <w:color w:val="auto"/>
          <w:sz w:val="22"/>
          <w:szCs w:val="22"/>
          <w:highlight w:val="none"/>
        </w:rPr>
      </w:pPr>
      <w:r>
        <w:rPr>
          <w:rFonts w:hint="eastAsia" w:ascii="宋体" w:hAnsi="宋体"/>
          <w:color w:val="auto"/>
          <w:sz w:val="22"/>
          <w:szCs w:val="22"/>
          <w:highlight w:val="none"/>
        </w:rPr>
        <w:t>在交货时整车必须已经通过国家各类强制性认证，汽车改装许可证，目录光盘，同时完成车辆在温州地区汽车上牌手续。</w:t>
      </w:r>
    </w:p>
    <w:p w14:paraId="6D1DDD0D">
      <w:pPr>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三、本次采购其他要求其他</w:t>
      </w:r>
    </w:p>
    <w:p w14:paraId="0E8E72D4">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1.  本标书中的技术要求不得被认为是详尽无遗的，无论规定与否，投标供应商应提供所有采购文件没有规定但投标供应商认为完成本项目必要或必须的设备和材料、辅件，并应在投标报价表中一一列明。</w:t>
      </w:r>
    </w:p>
    <w:p w14:paraId="74A5685D">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2.  对于低于原厂方对外公布的基本（标准）配置进行报价的产品，无论采购文件对此有无明确规定，供应商都必须在投标文件中对低于基本（标准）配置的内容作出明确说明。</w:t>
      </w:r>
    </w:p>
    <w:p w14:paraId="315D671F">
      <w:pPr>
        <w:widowControl/>
        <w:tabs>
          <w:tab w:val="left" w:pos="785"/>
        </w:tabs>
        <w:autoSpaceDE w:val="0"/>
        <w:autoSpaceDN w:val="0"/>
        <w:adjustRightInd w:val="0"/>
        <w:snapToGrid w:val="0"/>
        <w:spacing w:line="420" w:lineRule="exact"/>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四、免费质保期</w:t>
      </w:r>
    </w:p>
    <w:p w14:paraId="7579A7DE">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1.  本项目整车、零部件总成的质量保修期自验收合格并交付使用后不少于</w:t>
      </w:r>
      <w:r>
        <w:rPr>
          <w:rFonts w:hint="eastAsia" w:ascii="宋体" w:hAnsi="宋体" w:cs="宋体"/>
          <w:b/>
          <w:bCs/>
          <w:color w:val="auto"/>
          <w:sz w:val="22"/>
          <w:szCs w:val="22"/>
          <w:highlight w:val="none"/>
        </w:rPr>
        <w:t>1年</w:t>
      </w:r>
      <w:r>
        <w:rPr>
          <w:rFonts w:hint="eastAsia" w:ascii="宋体" w:hAnsi="宋体" w:cs="宋体"/>
          <w:color w:val="auto"/>
          <w:sz w:val="22"/>
          <w:szCs w:val="22"/>
          <w:highlight w:val="none"/>
        </w:rPr>
        <w:t>。质量保修期内免费上门服务（免费是指免零部件、材料费、人工费、交通住宿费等与上门保修服务有关的一切费用），终身维修。如厂商本身承诺的产品质保期高于标书要求的则按照厂商承诺执行。</w:t>
      </w:r>
    </w:p>
    <w:p w14:paraId="397F12F4">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2． 车辆的设计及制造质量均应符合国家（或国际）最新颁布的有关标准/规范要求。</w:t>
      </w:r>
    </w:p>
    <w:p w14:paraId="22E8A115">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3． 技术标准按国家最新颁布的标准及买方认可的国际标准。</w:t>
      </w:r>
    </w:p>
    <w:p w14:paraId="468D8AC6">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4． 凡需国家强制性认证或认可的产品、需提供相应的证书和认可的标志。</w:t>
      </w:r>
    </w:p>
    <w:p w14:paraId="193F44C8">
      <w:pPr>
        <w:widowControl/>
        <w:tabs>
          <w:tab w:val="left" w:pos="785"/>
        </w:tabs>
        <w:autoSpaceDE w:val="0"/>
        <w:autoSpaceDN w:val="0"/>
        <w:adjustRightInd w:val="0"/>
        <w:snapToGrid w:val="0"/>
        <w:spacing w:line="420" w:lineRule="exact"/>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五、车辆交付时间地点</w:t>
      </w:r>
    </w:p>
    <w:p w14:paraId="7EDCE895">
      <w:pPr>
        <w:spacing w:line="440" w:lineRule="exact"/>
        <w:ind w:left="421" w:leftChars="-9"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1. 交付使用时间：</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在合同签订后</w:t>
      </w:r>
      <w:r>
        <w:rPr>
          <w:rFonts w:hint="eastAsia" w:ascii="宋体" w:hAnsi="宋体" w:cs="宋体"/>
          <w:b/>
          <w:bCs/>
          <w:color w:val="auto"/>
          <w:sz w:val="22"/>
          <w:szCs w:val="22"/>
          <w:highlight w:val="none"/>
          <w:u w:val="single"/>
          <w:lang w:val="en-US" w:eastAsia="zh-CN"/>
        </w:rPr>
        <w:t>15</w:t>
      </w:r>
      <w:r>
        <w:rPr>
          <w:rFonts w:hint="eastAsia" w:ascii="宋体" w:hAnsi="宋体" w:cs="宋体"/>
          <w:b/>
          <w:bCs/>
          <w:color w:val="auto"/>
          <w:sz w:val="22"/>
          <w:szCs w:val="22"/>
          <w:highlight w:val="none"/>
          <w:u w:val="single"/>
        </w:rPr>
        <w:t>日内调试上牌完毕，交付使用</w:t>
      </w:r>
      <w:r>
        <w:rPr>
          <w:rFonts w:hint="eastAsia" w:ascii="宋体" w:hAnsi="宋体" w:cs="宋体"/>
          <w:color w:val="auto"/>
          <w:sz w:val="22"/>
          <w:szCs w:val="22"/>
          <w:highlight w:val="none"/>
          <w:u w:val="single"/>
        </w:rPr>
        <w:t>。</w:t>
      </w:r>
    </w:p>
    <w:p w14:paraId="1084093B">
      <w:pPr>
        <w:spacing w:line="440" w:lineRule="exact"/>
        <w:ind w:left="421" w:leftChars="-9"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2. 交货地点：采购人指定地点（温州）。</w:t>
      </w:r>
    </w:p>
    <w:p w14:paraId="1BEB1FC6">
      <w:pPr>
        <w:rPr>
          <w:color w:val="auto"/>
          <w:highlight w:val="none"/>
        </w:rPr>
      </w:pPr>
    </w:p>
    <w:p w14:paraId="19D0B906">
      <w:pPr>
        <w:pStyle w:val="4"/>
        <w:numPr>
          <w:ilvl w:val="0"/>
          <w:numId w:val="29"/>
        </w:numPr>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36"/>
          <w:szCs w:val="36"/>
          <w:highlight w:val="none"/>
        </w:rPr>
        <w:t xml:space="preserve">    </w:t>
      </w:r>
      <w:bookmarkStart w:id="154" w:name="_Toc12944"/>
      <w:r>
        <w:rPr>
          <w:rFonts w:hint="eastAsia" w:ascii="宋体" w:hAnsi="宋体" w:eastAsia="宋体" w:cs="宋体"/>
          <w:color w:val="auto"/>
          <w:sz w:val="36"/>
          <w:szCs w:val="36"/>
          <w:highlight w:val="none"/>
        </w:rPr>
        <w:t>评标原则及方法</w:t>
      </w:r>
      <w:bookmarkEnd w:id="154"/>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04403C01">
      <w:pPr>
        <w:tabs>
          <w:tab w:val="left" w:pos="2880"/>
        </w:tabs>
        <w:spacing w:line="440" w:lineRule="exact"/>
        <w:ind w:left="439" w:leftChars="209"/>
        <w:rPr>
          <w:rFonts w:hint="eastAsia" w:ascii="宋体" w:hAnsi="宋体" w:cs="宋体"/>
          <w:b/>
          <w:color w:val="auto"/>
          <w:sz w:val="22"/>
          <w:szCs w:val="22"/>
          <w:highlight w:val="none"/>
        </w:rPr>
      </w:pPr>
      <w:r>
        <w:rPr>
          <w:rFonts w:hint="eastAsia" w:ascii="宋体" w:hAnsi="宋体" w:cs="宋体"/>
          <w:b/>
          <w:color w:val="auto"/>
          <w:sz w:val="22"/>
          <w:szCs w:val="22"/>
          <w:highlight w:val="none"/>
        </w:rPr>
        <w:t>根据《温州市市属国有企业采购管理办法》等相关法规特制定以下评标办法。</w:t>
      </w:r>
    </w:p>
    <w:p w14:paraId="3F1A626E">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一. 总  则</w:t>
      </w:r>
    </w:p>
    <w:p w14:paraId="6D4AB558">
      <w:pPr>
        <w:adjustRightInd w:val="0"/>
        <w:snapToGrid w:val="0"/>
        <w:spacing w:line="44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7ED88D0">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5201EA5D">
      <w:pPr>
        <w:adjustRightInd w:val="0"/>
        <w:snapToGrid w:val="0"/>
        <w:spacing w:line="44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评标工作由采购人依法组建的评标委员会负责，评标全过程由有关部门指导监督。</w:t>
      </w:r>
    </w:p>
    <w:p w14:paraId="0AE0DAC2">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三、评标办法</w:t>
      </w:r>
    </w:p>
    <w:p w14:paraId="7B466255">
      <w:pPr>
        <w:adjustRightInd w:val="0"/>
        <w:snapToGrid w:val="0"/>
        <w:spacing w:line="44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1、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w:t>
      </w:r>
      <w:r>
        <w:rPr>
          <w:rFonts w:hint="eastAsia" w:ascii="宋体" w:hAnsi="宋体" w:cs="宋体"/>
          <w:b/>
          <w:color w:val="auto"/>
          <w:sz w:val="22"/>
          <w:szCs w:val="22"/>
          <w:highlight w:val="none"/>
        </w:rPr>
        <w:t>根据采购要求，总分设定为100分；其中</w:t>
      </w:r>
      <w:r>
        <w:rPr>
          <w:rFonts w:hint="eastAsia" w:ascii="宋体" w:hAnsi="宋体" w:cs="宋体"/>
          <w:b/>
          <w:color w:val="auto"/>
          <w:sz w:val="22"/>
          <w:highlight w:val="none"/>
        </w:rPr>
        <w:t>商务技术分</w:t>
      </w:r>
      <w:r>
        <w:rPr>
          <w:rFonts w:hint="eastAsia" w:ascii="宋体" w:hAnsi="宋体" w:cs="宋体"/>
          <w:b/>
          <w:color w:val="auto"/>
          <w:sz w:val="22"/>
          <w:szCs w:val="22"/>
          <w:highlight w:val="none"/>
        </w:rPr>
        <w:t>50分、报价分50分。</w:t>
      </w:r>
    </w:p>
    <w:p w14:paraId="376D5F2B">
      <w:pPr>
        <w:pStyle w:val="20"/>
        <w:snapToGrid w:val="0"/>
        <w:spacing w:line="360" w:lineRule="auto"/>
        <w:ind w:firstLine="440" w:firstLineChars="200"/>
        <w:rPr>
          <w:rFonts w:hint="eastAsia"/>
          <w:color w:val="auto"/>
          <w:highlight w:val="none"/>
        </w:rPr>
      </w:pPr>
      <w:r>
        <w:rPr>
          <w:rFonts w:hint="eastAsia" w:hAnsi="宋体" w:cs="宋体"/>
          <w:color w:val="auto"/>
          <w:sz w:val="22"/>
          <w:szCs w:val="22"/>
          <w:highlight w:val="none"/>
        </w:rPr>
        <w:t>2、</w:t>
      </w:r>
      <w:r>
        <w:rPr>
          <w:rFonts w:hint="eastAsia" w:hAnsi="宋体" w:cs="宋体"/>
          <w:b/>
          <w:color w:val="auto"/>
          <w:sz w:val="22"/>
          <w:szCs w:val="22"/>
          <w:highlight w:val="none"/>
          <w:u w:val="single"/>
        </w:rPr>
        <w:t>投标截止时间止及评审期间，出现有效投标人不足3家的，本项目按流（废）标处理，重新组织采购</w:t>
      </w:r>
      <w:r>
        <w:rPr>
          <w:rFonts w:hint="eastAsia" w:hAnsi="宋体" w:cs="宋体"/>
          <w:color w:val="auto"/>
          <w:sz w:val="22"/>
          <w:szCs w:val="22"/>
          <w:highlight w:val="none"/>
        </w:rPr>
        <w:t>。</w:t>
      </w:r>
    </w:p>
    <w:p w14:paraId="045C062A">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四、评分细则</w:t>
      </w:r>
    </w:p>
    <w:p w14:paraId="076C7363">
      <w:pPr>
        <w:adjustRightInd w:val="0"/>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1、商务技术分的评定（50分） </w:t>
      </w:r>
    </w:p>
    <w:p w14:paraId="428C65AC">
      <w:pPr>
        <w:adjustRightInd w:val="0"/>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商务技术评分由评委成员按下列评分细则中的评分项目进行统一评判打分，并记名。评标委员会对各投标人评分的算术平均值为各投标人的商务技术分最终得分（小数点后按四舍五入保留2位）。</w:t>
      </w:r>
    </w:p>
    <w:tbl>
      <w:tblPr>
        <w:tblStyle w:val="34"/>
        <w:tblW w:w="9942" w:type="dxa"/>
        <w:jc w:val="center"/>
        <w:tblLayout w:type="fixed"/>
        <w:tblCellMar>
          <w:top w:w="0" w:type="dxa"/>
          <w:left w:w="108" w:type="dxa"/>
          <w:bottom w:w="0" w:type="dxa"/>
          <w:right w:w="108" w:type="dxa"/>
        </w:tblCellMar>
      </w:tblPr>
      <w:tblGrid>
        <w:gridCol w:w="675"/>
        <w:gridCol w:w="1477"/>
        <w:gridCol w:w="7023"/>
        <w:gridCol w:w="767"/>
      </w:tblGrid>
      <w:tr w14:paraId="5CE2DD0F">
        <w:tblPrEx>
          <w:tblCellMar>
            <w:top w:w="0" w:type="dxa"/>
            <w:left w:w="108" w:type="dxa"/>
            <w:bottom w:w="0" w:type="dxa"/>
            <w:right w:w="108" w:type="dxa"/>
          </w:tblCellMar>
        </w:tblPrEx>
        <w:trPr>
          <w:trHeight w:val="734" w:hRule="atLeast"/>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6AE8611C">
            <w:pPr>
              <w:spacing w:line="360" w:lineRule="exact"/>
              <w:rPr>
                <w:rFonts w:hint="eastAsia" w:ascii="Times New Roman" w:hAnsi="宋体" w:eastAsia="宋体" w:cs="Times New Roman"/>
                <w:b/>
                <w:bCs/>
                <w:color w:val="auto"/>
                <w:kern w:val="0"/>
                <w:highlight w:val="none"/>
              </w:rPr>
            </w:pPr>
            <w:r>
              <w:rPr>
                <w:rFonts w:hint="eastAsia" w:ascii="Times New Roman" w:hAnsi="宋体" w:eastAsia="宋体" w:cs="Times New Roman"/>
                <w:b/>
                <w:bCs/>
                <w:color w:val="auto"/>
                <w:kern w:val="0"/>
                <w:highlight w:val="none"/>
              </w:rPr>
              <w:t>序号</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4D9B418B">
            <w:pPr>
              <w:spacing w:line="360" w:lineRule="exact"/>
              <w:rPr>
                <w:rFonts w:hint="eastAsia" w:ascii="Times New Roman" w:hAnsi="宋体" w:eastAsia="宋体" w:cs="Times New Roman"/>
                <w:b/>
                <w:bCs/>
                <w:color w:val="auto"/>
                <w:kern w:val="0"/>
                <w:highlight w:val="none"/>
              </w:rPr>
            </w:pPr>
            <w:r>
              <w:rPr>
                <w:rFonts w:hint="eastAsia" w:ascii="Times New Roman" w:hAnsi="宋体" w:eastAsia="宋体" w:cs="Times New Roman"/>
                <w:b/>
                <w:bCs/>
                <w:color w:val="auto"/>
                <w:kern w:val="0"/>
                <w:highlight w:val="none"/>
              </w:rPr>
              <w:t>评分内容</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487DBCCE">
            <w:pPr>
              <w:spacing w:line="360" w:lineRule="exact"/>
              <w:jc w:val="center"/>
              <w:rPr>
                <w:rFonts w:hint="eastAsia" w:ascii="Times New Roman" w:hAnsi="宋体" w:eastAsia="宋体" w:cs="Times New Roman"/>
                <w:b/>
                <w:bCs/>
                <w:color w:val="auto"/>
                <w:kern w:val="0"/>
                <w:highlight w:val="none"/>
              </w:rPr>
            </w:pPr>
            <w:r>
              <w:rPr>
                <w:rFonts w:hint="eastAsia" w:ascii="Times New Roman" w:hAnsi="宋体" w:eastAsia="宋体" w:cs="Times New Roman"/>
                <w:b/>
                <w:bCs/>
                <w:color w:val="auto"/>
                <w:kern w:val="0"/>
                <w:highlight w:val="none"/>
              </w:rPr>
              <w:t>评分标准</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13773B52">
            <w:pPr>
              <w:spacing w:line="360" w:lineRule="exact"/>
              <w:jc w:val="center"/>
              <w:rPr>
                <w:rFonts w:hint="eastAsia" w:ascii="Times New Roman" w:hAnsi="宋体" w:eastAsia="宋体" w:cs="Times New Roman"/>
                <w:b/>
                <w:bCs/>
                <w:color w:val="auto"/>
                <w:kern w:val="0"/>
                <w:highlight w:val="none"/>
              </w:rPr>
            </w:pPr>
            <w:r>
              <w:rPr>
                <w:rFonts w:hint="eastAsia" w:ascii="Times New Roman" w:hAnsi="宋体" w:eastAsia="宋体" w:cs="Times New Roman"/>
                <w:b/>
                <w:bCs/>
                <w:color w:val="auto"/>
                <w:kern w:val="0"/>
                <w:highlight w:val="none"/>
              </w:rPr>
              <w:t>分值</w:t>
            </w:r>
          </w:p>
        </w:tc>
      </w:tr>
      <w:tr w14:paraId="67A9BC74">
        <w:tblPrEx>
          <w:tblCellMar>
            <w:top w:w="0" w:type="dxa"/>
            <w:left w:w="108" w:type="dxa"/>
            <w:bottom w:w="0" w:type="dxa"/>
            <w:right w:w="108" w:type="dxa"/>
          </w:tblCellMar>
        </w:tblPrEx>
        <w:trPr>
          <w:trHeight w:val="878" w:hRule="atLeast"/>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200881CA">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308BA075">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技术重点参数响应情况</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75DAFAD9">
            <w:pPr>
              <w:spacing w:line="400" w:lineRule="atLeas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采购内容及要求中</w:t>
            </w:r>
            <w:r>
              <w:rPr>
                <w:rFonts w:hint="eastAsia" w:ascii="宋体" w:hAnsi="宋体" w:cs="Times New Roman"/>
                <w:color w:val="auto"/>
                <w:kern w:val="0"/>
                <w:highlight w:val="none"/>
                <w:lang w:val="en-US" w:eastAsia="zh-CN"/>
              </w:rPr>
              <w:t>带“</w:t>
            </w:r>
            <w:r>
              <w:rPr>
                <w:rFonts w:hint="eastAsia" w:ascii="宋体" w:hAnsi="宋体" w:cs="宋体"/>
                <w:b/>
                <w:bCs w:val="0"/>
                <w:color w:val="auto"/>
                <w:szCs w:val="21"/>
                <w:highlight w:val="none"/>
                <w:u w:val="none"/>
                <w:lang w:val="en-US" w:eastAsia="zh-CN"/>
              </w:rPr>
              <w:t>*</w:t>
            </w:r>
            <w:r>
              <w:rPr>
                <w:rFonts w:hint="eastAsia" w:ascii="宋体" w:hAnsi="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t>的技术参数不符合或负偏离的扣</w:t>
            </w:r>
            <w:r>
              <w:rPr>
                <w:rFonts w:hint="eastAsia" w:ascii="宋体" w:hAnsi="宋体" w:cs="Times New Roman"/>
                <w:color w:val="auto"/>
                <w:kern w:val="0"/>
                <w:highlight w:val="none"/>
                <w:lang w:val="en-US" w:eastAsia="zh-CN"/>
              </w:rPr>
              <w:t>3</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其他</w:t>
            </w:r>
            <w:r>
              <w:rPr>
                <w:rFonts w:hint="eastAsia" w:ascii="宋体" w:hAnsi="宋体" w:eastAsia="宋体" w:cs="Times New Roman"/>
                <w:color w:val="auto"/>
                <w:kern w:val="0"/>
                <w:highlight w:val="none"/>
                <w:lang w:val="en-US" w:eastAsia="zh-CN"/>
              </w:rPr>
              <w:t>的技术参数每有一项不符合或负偏离的扣1.5分</w:t>
            </w:r>
            <w:r>
              <w:rPr>
                <w:rFonts w:hint="eastAsia" w:ascii="宋体" w:hAnsi="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t>扣完为止。本项最高得15分。</w:t>
            </w:r>
          </w:p>
          <w:p w14:paraId="690069E3">
            <w:pPr>
              <w:spacing w:line="400" w:lineRule="atLeast"/>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注：提供相关证明材料，否则不得分。</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1DA33F5B">
            <w:pPr>
              <w:spacing w:line="400" w:lineRule="atLeast"/>
              <w:jc w:val="center"/>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15</w:t>
            </w:r>
          </w:p>
        </w:tc>
      </w:tr>
      <w:tr w14:paraId="78A44341">
        <w:tblPrEx>
          <w:tblCellMar>
            <w:top w:w="0" w:type="dxa"/>
            <w:left w:w="108" w:type="dxa"/>
            <w:bottom w:w="0" w:type="dxa"/>
            <w:right w:w="108" w:type="dxa"/>
          </w:tblCellMar>
        </w:tblPrEx>
        <w:trPr>
          <w:trHeight w:val="878" w:hRule="atLeast"/>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4EFA4731">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5551FF79">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综合参数和响应情况</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1B247BF5">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根据投标产品其他参数及服务要求的响应情况，评标委员会综合量化评分。</w:t>
            </w:r>
          </w:p>
          <w:p w14:paraId="587A577E">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A档7-5；B档4.9-3；C档：2.9-0。</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0F6D7678">
            <w:pPr>
              <w:spacing w:line="400" w:lineRule="atLeas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7</w:t>
            </w:r>
          </w:p>
        </w:tc>
      </w:tr>
      <w:tr w14:paraId="28D56F03">
        <w:tblPrEx>
          <w:tblCellMar>
            <w:top w:w="0" w:type="dxa"/>
            <w:left w:w="108" w:type="dxa"/>
            <w:bottom w:w="0" w:type="dxa"/>
            <w:right w:w="108" w:type="dxa"/>
          </w:tblCellMar>
        </w:tblPrEx>
        <w:trPr>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0E1C57E2">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02BE496B">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重点功能</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22482AF3">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投标人所投产品具有以下功能，每项得</w:t>
            </w:r>
            <w:r>
              <w:rPr>
                <w:rFonts w:ascii="宋体" w:hAnsi="宋体" w:eastAsia="宋体" w:cs="Times New Roman"/>
                <w:color w:val="auto"/>
                <w:kern w:val="0"/>
                <w:highlight w:val="none"/>
              </w:rPr>
              <w:t>2</w:t>
            </w:r>
            <w:r>
              <w:rPr>
                <w:rFonts w:hint="eastAsia" w:ascii="宋体" w:hAnsi="宋体" w:eastAsia="宋体" w:cs="Times New Roman"/>
                <w:color w:val="auto"/>
                <w:kern w:val="0"/>
                <w:highlight w:val="none"/>
              </w:rPr>
              <w:t>分，最高得</w:t>
            </w:r>
            <w:r>
              <w:rPr>
                <w:rFonts w:ascii="宋体" w:hAnsi="宋体" w:eastAsia="宋体" w:cs="Times New Roman"/>
                <w:color w:val="auto"/>
                <w:kern w:val="0"/>
                <w:highlight w:val="none"/>
              </w:rPr>
              <w:t>6</w:t>
            </w:r>
            <w:r>
              <w:rPr>
                <w:rFonts w:hint="eastAsia" w:ascii="宋体" w:hAnsi="宋体" w:eastAsia="宋体" w:cs="Times New Roman"/>
                <w:color w:val="auto"/>
                <w:kern w:val="0"/>
                <w:highlight w:val="none"/>
              </w:rPr>
              <w:t>分：</w:t>
            </w:r>
          </w:p>
          <w:p w14:paraId="77DD10E6">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1.采用了先进的涡轮蜗杆式减速机构（具有自润滑和自锁功能）后期维护也可方便的通过调整螺栓位置轻松达到效果（需在投标文件中提供图片证明）； 2. 转台和吊篮设有启动和熄火开关，操作方便，节省燃油；3. 下车与上车互锁，操作安全、可靠，上车操作通过节流阀实现无极调速。</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59668BF7">
            <w:pPr>
              <w:spacing w:line="400" w:lineRule="atLeas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6</w:t>
            </w:r>
          </w:p>
        </w:tc>
      </w:tr>
      <w:tr w14:paraId="54BCAA24">
        <w:tblPrEx>
          <w:tblCellMar>
            <w:top w:w="0" w:type="dxa"/>
            <w:left w:w="108" w:type="dxa"/>
            <w:bottom w:w="0" w:type="dxa"/>
            <w:right w:w="108" w:type="dxa"/>
          </w:tblCellMar>
        </w:tblPrEx>
        <w:trPr>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1773593B">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4</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27AFC73C">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售后服务网点</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48BFCC45">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售后服务网点设在温州地区的得4分；售后服务网点设在温州地区以外浙江省内的得2分；售后服务网点设在浙江省以外得1分；</w:t>
            </w:r>
          </w:p>
          <w:p w14:paraId="72D3398D">
            <w:pPr>
              <w:spacing w:line="400" w:lineRule="atLeas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rPr>
              <w:t>注：需提供售后服务网点营业执照复印件证明,未提供不得分</w:t>
            </w:r>
            <w:r>
              <w:rPr>
                <w:rFonts w:hint="eastAsia" w:ascii="宋体" w:hAnsi="宋体" w:eastAsia="宋体" w:cs="Times New Roman"/>
                <w:color w:val="auto"/>
                <w:kern w:val="0"/>
                <w:highlight w:val="none"/>
                <w:lang w:eastAsia="zh-CN"/>
              </w:rPr>
              <w:t>。</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0A451A70">
            <w:pPr>
              <w:spacing w:line="400" w:lineRule="atLeast"/>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4</w:t>
            </w:r>
          </w:p>
        </w:tc>
      </w:tr>
      <w:tr w14:paraId="3CA7F385">
        <w:tblPrEx>
          <w:tblCellMar>
            <w:top w:w="0" w:type="dxa"/>
            <w:left w:w="108" w:type="dxa"/>
            <w:bottom w:w="0" w:type="dxa"/>
            <w:right w:w="108" w:type="dxa"/>
          </w:tblCellMar>
        </w:tblPrEx>
        <w:trPr>
          <w:jc w:val="center"/>
        </w:trPr>
        <w:tc>
          <w:tcPr>
            <w:tcW w:w="675" w:type="dxa"/>
            <w:tcBorders>
              <w:top w:val="single" w:color="000000" w:sz="4" w:space="0"/>
              <w:left w:val="single" w:color="auto" w:sz="4" w:space="0"/>
              <w:bottom w:val="single" w:color="auto" w:sz="4" w:space="0"/>
              <w:right w:val="single" w:color="000000" w:sz="2" w:space="0"/>
            </w:tcBorders>
            <w:noWrap w:val="0"/>
            <w:vAlign w:val="center"/>
          </w:tcPr>
          <w:p w14:paraId="30F1BB7A">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5</w:t>
            </w:r>
          </w:p>
        </w:tc>
        <w:tc>
          <w:tcPr>
            <w:tcW w:w="1477" w:type="dxa"/>
            <w:tcBorders>
              <w:top w:val="single" w:color="000000" w:sz="4" w:space="0"/>
              <w:left w:val="single" w:color="auto" w:sz="4" w:space="0"/>
              <w:bottom w:val="single" w:color="auto" w:sz="4" w:space="0"/>
              <w:right w:val="single" w:color="000000" w:sz="2" w:space="0"/>
            </w:tcBorders>
            <w:noWrap w:val="0"/>
            <w:vAlign w:val="center"/>
          </w:tcPr>
          <w:p w14:paraId="720282C4">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培训服务</w:t>
            </w:r>
          </w:p>
        </w:tc>
        <w:tc>
          <w:tcPr>
            <w:tcW w:w="7023" w:type="dxa"/>
            <w:tcBorders>
              <w:top w:val="single" w:color="000000" w:sz="4" w:space="0"/>
              <w:left w:val="single" w:color="auto" w:sz="4" w:space="0"/>
              <w:bottom w:val="single" w:color="auto" w:sz="4" w:space="0"/>
              <w:right w:val="single" w:color="000000" w:sz="2" w:space="0"/>
            </w:tcBorders>
            <w:noWrap w:val="0"/>
            <w:vAlign w:val="center"/>
          </w:tcPr>
          <w:p w14:paraId="40F0C782">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根据投标人针对本项目制定的产品培训服务措施、服务方案的优劣进行综合评价。A档5-3；B档2.9-1；C档：0.9-0。</w:t>
            </w:r>
          </w:p>
        </w:tc>
        <w:tc>
          <w:tcPr>
            <w:tcW w:w="767" w:type="dxa"/>
            <w:tcBorders>
              <w:top w:val="single" w:color="000000" w:sz="4" w:space="0"/>
              <w:left w:val="single" w:color="auto" w:sz="4" w:space="0"/>
              <w:bottom w:val="single" w:color="auto" w:sz="4" w:space="0"/>
              <w:right w:val="single" w:color="000000" w:sz="2" w:space="0"/>
            </w:tcBorders>
            <w:noWrap w:val="0"/>
            <w:vAlign w:val="center"/>
          </w:tcPr>
          <w:p w14:paraId="118F20E3">
            <w:pPr>
              <w:spacing w:line="400" w:lineRule="atLeas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5</w:t>
            </w:r>
          </w:p>
        </w:tc>
      </w:tr>
      <w:tr w14:paraId="3E0CC57A">
        <w:tblPrEx>
          <w:tblCellMar>
            <w:top w:w="0" w:type="dxa"/>
            <w:left w:w="108" w:type="dxa"/>
            <w:bottom w:w="0" w:type="dxa"/>
            <w:right w:w="108" w:type="dxa"/>
          </w:tblCellMar>
        </w:tblPrEx>
        <w:trPr>
          <w:trHeight w:val="594" w:hRule="atLeast"/>
          <w:jc w:val="center"/>
        </w:trPr>
        <w:tc>
          <w:tcPr>
            <w:tcW w:w="675" w:type="dxa"/>
            <w:tcBorders>
              <w:top w:val="single" w:color="auto" w:sz="4" w:space="0"/>
              <w:left w:val="single" w:color="auto" w:sz="4" w:space="0"/>
              <w:bottom w:val="single" w:color="auto" w:sz="4" w:space="0"/>
              <w:right w:val="single" w:color="000000" w:sz="2" w:space="0"/>
            </w:tcBorders>
            <w:noWrap w:val="0"/>
            <w:vAlign w:val="center"/>
          </w:tcPr>
          <w:p w14:paraId="6A17AA22">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6</w:t>
            </w:r>
          </w:p>
        </w:tc>
        <w:tc>
          <w:tcPr>
            <w:tcW w:w="1477" w:type="dxa"/>
            <w:tcBorders>
              <w:top w:val="single" w:color="auto" w:sz="4" w:space="0"/>
              <w:left w:val="single" w:color="auto" w:sz="4" w:space="0"/>
              <w:bottom w:val="single" w:color="auto" w:sz="4" w:space="0"/>
              <w:right w:val="single" w:color="000000" w:sz="2" w:space="0"/>
            </w:tcBorders>
            <w:noWrap w:val="0"/>
            <w:vAlign w:val="center"/>
          </w:tcPr>
          <w:p w14:paraId="1FAB7C3B">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免费质保期</w:t>
            </w:r>
          </w:p>
        </w:tc>
        <w:tc>
          <w:tcPr>
            <w:tcW w:w="7023" w:type="dxa"/>
            <w:tcBorders>
              <w:top w:val="single" w:color="auto" w:sz="4" w:space="0"/>
              <w:left w:val="single" w:color="auto" w:sz="4" w:space="0"/>
              <w:bottom w:val="single" w:color="auto" w:sz="4" w:space="0"/>
              <w:right w:val="single" w:color="000000" w:sz="2" w:space="0"/>
            </w:tcBorders>
            <w:noWrap w:val="0"/>
            <w:vAlign w:val="center"/>
          </w:tcPr>
          <w:p w14:paraId="4937CB51">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在招标文件按要求（1年）的基础上，每增加6个月得1分，最高加</w:t>
            </w:r>
            <w:r>
              <w:rPr>
                <w:rFonts w:ascii="宋体" w:hAnsi="宋体" w:eastAsia="宋体" w:cs="Times New Roman"/>
                <w:color w:val="auto"/>
                <w:kern w:val="0"/>
                <w:highlight w:val="none"/>
              </w:rPr>
              <w:t>4</w:t>
            </w:r>
            <w:r>
              <w:rPr>
                <w:rFonts w:hint="eastAsia" w:ascii="宋体" w:hAnsi="宋体" w:eastAsia="宋体" w:cs="Times New Roman"/>
                <w:color w:val="auto"/>
                <w:kern w:val="0"/>
                <w:highlight w:val="none"/>
              </w:rPr>
              <w:t>分。</w:t>
            </w:r>
          </w:p>
        </w:tc>
        <w:tc>
          <w:tcPr>
            <w:tcW w:w="767" w:type="dxa"/>
            <w:tcBorders>
              <w:top w:val="single" w:color="auto" w:sz="4" w:space="0"/>
              <w:left w:val="single" w:color="auto" w:sz="4" w:space="0"/>
              <w:bottom w:val="single" w:color="auto" w:sz="4" w:space="0"/>
              <w:right w:val="single" w:color="000000" w:sz="2" w:space="0"/>
            </w:tcBorders>
            <w:noWrap w:val="0"/>
            <w:vAlign w:val="center"/>
          </w:tcPr>
          <w:p w14:paraId="51F8136F">
            <w:pPr>
              <w:spacing w:line="400" w:lineRule="atLeast"/>
              <w:jc w:val="center"/>
              <w:rPr>
                <w:rFonts w:hint="eastAsia" w:ascii="宋体" w:hAnsi="宋体" w:eastAsia="宋体" w:cs="Times New Roman"/>
                <w:color w:val="auto"/>
                <w:kern w:val="0"/>
                <w:highlight w:val="none"/>
              </w:rPr>
            </w:pPr>
            <w:r>
              <w:rPr>
                <w:rFonts w:ascii="宋体" w:hAnsi="宋体" w:eastAsia="宋体" w:cs="Times New Roman"/>
                <w:color w:val="auto"/>
                <w:kern w:val="0"/>
                <w:highlight w:val="none"/>
              </w:rPr>
              <w:t>4</w:t>
            </w:r>
          </w:p>
        </w:tc>
      </w:tr>
      <w:tr w14:paraId="1B389B04">
        <w:tblPrEx>
          <w:tblCellMar>
            <w:top w:w="0" w:type="dxa"/>
            <w:left w:w="108" w:type="dxa"/>
            <w:bottom w:w="0" w:type="dxa"/>
            <w:right w:w="108" w:type="dxa"/>
          </w:tblCellMar>
        </w:tblPrEx>
        <w:trPr>
          <w:trHeight w:val="570" w:hRule="atLeast"/>
          <w:jc w:val="center"/>
        </w:trPr>
        <w:tc>
          <w:tcPr>
            <w:tcW w:w="675" w:type="dxa"/>
            <w:tcBorders>
              <w:top w:val="single" w:color="auto" w:sz="4" w:space="0"/>
              <w:left w:val="single" w:color="auto" w:sz="4" w:space="0"/>
              <w:bottom w:val="single" w:color="auto" w:sz="4" w:space="0"/>
              <w:right w:val="single" w:color="000000" w:sz="2" w:space="0"/>
            </w:tcBorders>
            <w:noWrap w:val="0"/>
            <w:vAlign w:val="center"/>
          </w:tcPr>
          <w:p w14:paraId="1F2ABFA8">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7</w:t>
            </w:r>
          </w:p>
        </w:tc>
        <w:tc>
          <w:tcPr>
            <w:tcW w:w="1477" w:type="dxa"/>
            <w:tcBorders>
              <w:top w:val="single" w:color="auto" w:sz="4" w:space="0"/>
              <w:left w:val="single" w:color="auto" w:sz="4" w:space="0"/>
              <w:bottom w:val="single" w:color="auto" w:sz="4" w:space="0"/>
              <w:right w:val="single" w:color="000000" w:sz="2" w:space="0"/>
            </w:tcBorders>
            <w:noWrap w:val="0"/>
            <w:vAlign w:val="center"/>
          </w:tcPr>
          <w:p w14:paraId="4027CCEF">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认证情况</w:t>
            </w:r>
          </w:p>
        </w:tc>
        <w:tc>
          <w:tcPr>
            <w:tcW w:w="7023" w:type="dxa"/>
            <w:tcBorders>
              <w:top w:val="single" w:color="auto" w:sz="4" w:space="0"/>
              <w:left w:val="single" w:color="auto" w:sz="4" w:space="0"/>
              <w:bottom w:val="single" w:color="auto" w:sz="4" w:space="0"/>
              <w:right w:val="single" w:color="000000" w:sz="2" w:space="0"/>
            </w:tcBorders>
            <w:noWrap w:val="0"/>
            <w:vAlign w:val="center"/>
          </w:tcPr>
          <w:p w14:paraId="79427812">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1）投标人具有ISO9001质量管理体系认证证书的得1分；</w:t>
            </w:r>
          </w:p>
          <w:p w14:paraId="4BB3EB28">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2）投标人具有ISO14001环境管理体系认证证书的得1分；</w:t>
            </w:r>
          </w:p>
          <w:p w14:paraId="38329A05">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3）投标人具备OHSAS18001职业健康安全管理体系认证证书的得1分；</w:t>
            </w:r>
          </w:p>
        </w:tc>
        <w:tc>
          <w:tcPr>
            <w:tcW w:w="767" w:type="dxa"/>
            <w:tcBorders>
              <w:top w:val="single" w:color="auto" w:sz="4" w:space="0"/>
              <w:left w:val="single" w:color="auto" w:sz="4" w:space="0"/>
              <w:bottom w:val="single" w:color="auto" w:sz="4" w:space="0"/>
              <w:right w:val="single" w:color="000000" w:sz="2" w:space="0"/>
            </w:tcBorders>
            <w:noWrap w:val="0"/>
            <w:vAlign w:val="center"/>
          </w:tcPr>
          <w:p w14:paraId="1B7D4492">
            <w:pPr>
              <w:spacing w:line="400" w:lineRule="atLeast"/>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w:t>
            </w:r>
          </w:p>
        </w:tc>
      </w:tr>
      <w:tr w14:paraId="1F2DECF8">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000000" w:sz="2" w:space="0"/>
            </w:tcBorders>
            <w:noWrap w:val="0"/>
            <w:vAlign w:val="center"/>
          </w:tcPr>
          <w:p w14:paraId="4B2DCDB4">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8</w:t>
            </w:r>
          </w:p>
        </w:tc>
        <w:tc>
          <w:tcPr>
            <w:tcW w:w="1477" w:type="dxa"/>
            <w:tcBorders>
              <w:top w:val="single" w:color="auto" w:sz="4" w:space="0"/>
              <w:left w:val="single" w:color="auto" w:sz="4" w:space="0"/>
              <w:bottom w:val="single" w:color="auto" w:sz="4" w:space="0"/>
              <w:right w:val="single" w:color="000000" w:sz="2" w:space="0"/>
            </w:tcBorders>
            <w:noWrap w:val="0"/>
            <w:vAlign w:val="center"/>
          </w:tcPr>
          <w:p w14:paraId="25F978D2">
            <w:pPr>
              <w:spacing w:line="400" w:lineRule="atLeas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投标产品的销售业绩</w:t>
            </w:r>
          </w:p>
        </w:tc>
        <w:tc>
          <w:tcPr>
            <w:tcW w:w="7023" w:type="dxa"/>
            <w:tcBorders>
              <w:top w:val="single" w:color="auto" w:sz="4" w:space="0"/>
              <w:left w:val="single" w:color="auto" w:sz="4" w:space="0"/>
              <w:bottom w:val="single" w:color="auto" w:sz="4" w:space="0"/>
              <w:right w:val="single" w:color="000000" w:sz="2" w:space="0"/>
            </w:tcBorders>
            <w:noWrap w:val="0"/>
            <w:vAlign w:val="center"/>
          </w:tcPr>
          <w:p w14:paraId="32DD2ADF">
            <w:pPr>
              <w:spacing w:line="400" w:lineRule="atLeas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2022年至今投标人或制造商投标产品的登高车销售业绩，每份业绩得1分，最多得</w:t>
            </w:r>
            <w:r>
              <w:rPr>
                <w:rFonts w:ascii="宋体" w:hAnsi="宋体" w:eastAsia="宋体" w:cs="Times New Roman"/>
                <w:color w:val="auto"/>
                <w:kern w:val="0"/>
                <w:highlight w:val="none"/>
              </w:rPr>
              <w:t>6</w:t>
            </w:r>
            <w:r>
              <w:rPr>
                <w:rFonts w:hint="eastAsia" w:ascii="宋体" w:hAnsi="宋体" w:eastAsia="宋体" w:cs="Times New Roman"/>
                <w:color w:val="auto"/>
                <w:kern w:val="0"/>
                <w:highlight w:val="none"/>
              </w:rPr>
              <w:t>分。业绩证明以销售合同为准（投标文件中需提供合同复印件，原件备查）。</w:t>
            </w:r>
          </w:p>
        </w:tc>
        <w:tc>
          <w:tcPr>
            <w:tcW w:w="767" w:type="dxa"/>
            <w:tcBorders>
              <w:top w:val="single" w:color="auto" w:sz="4" w:space="0"/>
              <w:left w:val="single" w:color="auto" w:sz="4" w:space="0"/>
              <w:bottom w:val="single" w:color="auto" w:sz="4" w:space="0"/>
              <w:right w:val="single" w:color="000000" w:sz="2" w:space="0"/>
            </w:tcBorders>
            <w:noWrap w:val="0"/>
            <w:vAlign w:val="center"/>
          </w:tcPr>
          <w:p w14:paraId="0A939691">
            <w:pPr>
              <w:spacing w:line="400" w:lineRule="atLeast"/>
              <w:jc w:val="center"/>
              <w:rPr>
                <w:rFonts w:hint="eastAsia" w:ascii="宋体" w:hAnsi="宋体" w:eastAsia="宋体" w:cs="Times New Roman"/>
                <w:color w:val="auto"/>
                <w:kern w:val="0"/>
                <w:highlight w:val="none"/>
              </w:rPr>
            </w:pPr>
            <w:r>
              <w:rPr>
                <w:rFonts w:ascii="宋体" w:hAnsi="宋体" w:eastAsia="宋体" w:cs="Times New Roman"/>
                <w:color w:val="auto"/>
                <w:kern w:val="0"/>
                <w:highlight w:val="none"/>
              </w:rPr>
              <w:t>6</w:t>
            </w:r>
          </w:p>
        </w:tc>
      </w:tr>
    </w:tbl>
    <w:p w14:paraId="49927DC8">
      <w:pPr>
        <w:adjustRightInd w:val="0"/>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2、报价分的评定（50分）</w:t>
      </w:r>
    </w:p>
    <w:p w14:paraId="057A439F">
      <w:pPr>
        <w:spacing w:line="440" w:lineRule="exact"/>
        <w:ind w:left="328" w:leftChars="156"/>
        <w:rPr>
          <w:rFonts w:ascii="宋体" w:hAnsi="宋体" w:cs="宋体"/>
          <w:color w:val="auto"/>
          <w:sz w:val="22"/>
          <w:highlight w:val="none"/>
        </w:rPr>
      </w:pPr>
      <w:r>
        <w:rPr>
          <w:rFonts w:hint="eastAsia" w:ascii="宋体" w:hAnsi="宋体" w:cs="宋体"/>
          <w:color w:val="auto"/>
          <w:sz w:val="22"/>
          <w:highlight w:val="none"/>
        </w:rPr>
        <w:t>满足采购文件要求且价格最低的投标报价为投标基准价。</w:t>
      </w:r>
    </w:p>
    <w:p w14:paraId="7FC3AF2E">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1）有效投标人的投标报价等于投标基准价时其商务分为满分50分；</w:t>
      </w:r>
    </w:p>
    <w:p w14:paraId="28E51BCD">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2）其他投标人的价格分按以下公式计算：</w:t>
      </w:r>
    </w:p>
    <w:p w14:paraId="23D6F246">
      <w:pPr>
        <w:spacing w:line="440" w:lineRule="exact"/>
        <w:ind w:left="657" w:leftChars="313"/>
        <w:rPr>
          <w:rFonts w:ascii="宋体" w:hAnsi="宋体" w:cs="宋体"/>
          <w:color w:val="auto"/>
          <w:sz w:val="22"/>
          <w:highlight w:val="none"/>
        </w:rPr>
      </w:pPr>
      <w:r>
        <w:rPr>
          <w:rFonts w:hint="eastAsia" w:ascii="宋体" w:hAnsi="宋体" w:cs="宋体"/>
          <w:color w:val="auto"/>
          <w:sz w:val="22"/>
          <w:highlight w:val="none"/>
        </w:rPr>
        <w:t>商务分得分=（投标基准价/投标人投标报价）×50% ×100（四舍五入后保留小数2位）</w:t>
      </w:r>
    </w:p>
    <w:p w14:paraId="4D8FA9FA">
      <w:pPr>
        <w:spacing w:line="400" w:lineRule="exact"/>
        <w:ind w:firstLine="221" w:firstLineChars="100"/>
        <w:rPr>
          <w:rFonts w:hint="eastAsia" w:ascii="宋体" w:hAnsi="宋体" w:cs="宋体"/>
          <w:color w:val="auto"/>
          <w:sz w:val="22"/>
          <w:highlight w:val="none"/>
        </w:rPr>
      </w:pPr>
      <w:r>
        <w:rPr>
          <w:rFonts w:hint="eastAsia" w:ascii="宋体" w:hAnsi="宋体" w:cs="宋体"/>
          <w:b/>
          <w:color w:val="auto"/>
          <w:sz w:val="22"/>
          <w:szCs w:val="22"/>
          <w:highlight w:val="none"/>
        </w:rPr>
        <w:t>3）</w:t>
      </w:r>
      <w:r>
        <w:rPr>
          <w:rFonts w:hint="eastAsia" w:ascii="宋体" w:hAnsi="宋体" w:cs="宋体"/>
          <w:b/>
          <w:color w:val="auto"/>
          <w:sz w:val="22"/>
          <w:szCs w:val="22"/>
          <w:highlight w:val="none"/>
          <w:u w:val="single"/>
        </w:rPr>
        <w:t>▲本项目采购预算为</w:t>
      </w:r>
      <w:r>
        <w:rPr>
          <w:rFonts w:hint="eastAsia" w:ascii="宋体" w:hAnsi="宋体" w:cs="宋体"/>
          <w:b/>
          <w:color w:val="auto"/>
          <w:sz w:val="22"/>
          <w:szCs w:val="22"/>
          <w:highlight w:val="none"/>
          <w:u w:val="single"/>
          <w:lang w:val="en-US" w:eastAsia="zh-CN"/>
        </w:rPr>
        <w:t>33</w:t>
      </w:r>
      <w:r>
        <w:rPr>
          <w:rFonts w:hint="eastAsia" w:ascii="宋体" w:hAnsi="宋体" w:cs="宋体"/>
          <w:b/>
          <w:color w:val="auto"/>
          <w:sz w:val="22"/>
          <w:szCs w:val="22"/>
          <w:highlight w:val="none"/>
          <w:u w:val="single"/>
        </w:rPr>
        <w:t>万元，</w:t>
      </w:r>
      <w:r>
        <w:rPr>
          <w:rFonts w:hint="eastAsia" w:ascii="宋体" w:hAnsi="宋体" w:cs="宋体"/>
          <w:b/>
          <w:bCs/>
          <w:color w:val="auto"/>
          <w:kern w:val="0"/>
          <w:sz w:val="22"/>
          <w:szCs w:val="22"/>
          <w:highlight w:val="none"/>
          <w:u w:val="single"/>
        </w:rPr>
        <w:t>如投标人报价超过采购预算，其投标文件作无效标处理</w:t>
      </w:r>
      <w:r>
        <w:rPr>
          <w:rFonts w:hint="eastAsia" w:ascii="宋体" w:hAnsi="宋体" w:cs="宋体"/>
          <w:color w:val="auto"/>
          <w:sz w:val="22"/>
          <w:highlight w:val="none"/>
        </w:rPr>
        <w:t>。</w:t>
      </w:r>
    </w:p>
    <w:p w14:paraId="33457901">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szCs w:val="22"/>
          <w:highlight w:val="none"/>
        </w:rPr>
        <w:t>所有投标人商务报价均超采购预算，采购人无法支付的,重新组织采购</w:t>
      </w:r>
      <w:r>
        <w:rPr>
          <w:rFonts w:hint="eastAsia" w:ascii="宋体" w:hAnsi="宋体" w:cs="宋体"/>
          <w:color w:val="auto"/>
          <w:sz w:val="22"/>
          <w:highlight w:val="none"/>
        </w:rPr>
        <w:t>。</w:t>
      </w:r>
    </w:p>
    <w:p w14:paraId="29375066">
      <w:pPr>
        <w:spacing w:line="440" w:lineRule="exact"/>
        <w:ind w:firstLine="440" w:firstLineChars="200"/>
        <w:rPr>
          <w:rFonts w:ascii="宋体" w:hAnsi="宋体" w:cs="宋体"/>
          <w:color w:val="auto"/>
          <w:highlight w:val="none"/>
        </w:rPr>
      </w:pPr>
      <w:r>
        <w:rPr>
          <w:rFonts w:hint="eastAsia" w:ascii="宋体" w:hAnsi="宋体" w:cs="宋体"/>
          <w:color w:val="auto"/>
          <w:sz w:val="22"/>
          <w:szCs w:val="22"/>
          <w:highlight w:val="none"/>
        </w:rPr>
        <w:t>3、有效投标人的综合得分为商务技术得分和投标报价得分的总和。</w:t>
      </w:r>
    </w:p>
    <w:p w14:paraId="3DF2337A">
      <w:pPr>
        <w:adjustRightInd w:val="0"/>
        <w:snapToGrid w:val="0"/>
        <w:spacing w:line="440" w:lineRule="exact"/>
        <w:ind w:firstLine="440" w:firstLineChars="200"/>
        <w:rPr>
          <w:rFonts w:hint="eastAsia"/>
          <w:color w:val="auto"/>
          <w:highlight w:val="none"/>
        </w:rPr>
      </w:pPr>
      <w:r>
        <w:rPr>
          <w:rFonts w:hint="eastAsia" w:ascii="宋体" w:hAnsi="宋体" w:cs="宋体"/>
          <w:color w:val="auto"/>
          <w:sz w:val="22"/>
          <w:szCs w:val="22"/>
          <w:highlight w:val="none"/>
        </w:rPr>
        <w:t>4、评标委员会依据法律、法规及采购文件有关规定在有效标中按投标人的综合得分（商务技术分及报价分之和）高低进行排序，综合得分</w:t>
      </w:r>
      <w:r>
        <w:rPr>
          <w:rFonts w:hint="eastAsia" w:ascii="新宋体" w:hAnsi="新宋体" w:eastAsia="新宋体" w:cs="新宋体"/>
          <w:color w:val="auto"/>
          <w:sz w:val="22"/>
          <w:szCs w:val="22"/>
          <w:highlight w:val="none"/>
        </w:rPr>
        <w:t>排序前2名投标人为中标候选人，</w:t>
      </w:r>
      <w:r>
        <w:rPr>
          <w:rFonts w:hint="eastAsia" w:ascii="宋体" w:hAnsi="宋体" w:cs="宋体"/>
          <w:color w:val="auto"/>
          <w:sz w:val="22"/>
          <w:szCs w:val="22"/>
          <w:highlight w:val="none"/>
        </w:rPr>
        <w:t>并提交评标报告。综合得分相同的以报价分得分高的优先；综合</w:t>
      </w:r>
      <w:r>
        <w:rPr>
          <w:rFonts w:hint="eastAsia" w:ascii="宋体" w:hAnsi="宋体" w:cs="宋体"/>
          <w:color w:val="auto"/>
          <w:kern w:val="0"/>
          <w:sz w:val="22"/>
          <w:szCs w:val="22"/>
          <w:highlight w:val="none"/>
        </w:rPr>
        <w:t>得分相同且</w:t>
      </w:r>
      <w:r>
        <w:rPr>
          <w:rFonts w:hint="eastAsia" w:ascii="宋体" w:hAnsi="宋体" w:cs="宋体"/>
          <w:color w:val="auto"/>
          <w:sz w:val="22"/>
          <w:szCs w:val="22"/>
          <w:highlight w:val="none"/>
        </w:rPr>
        <w:t>报价分得分相同的，由评标委员会随机抽签决定排序。</w:t>
      </w:r>
    </w:p>
    <w:p w14:paraId="1E04D2A3">
      <w:pPr>
        <w:adjustRightInd w:val="0"/>
        <w:snapToGrid w:val="0"/>
        <w:spacing w:line="44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五、定标办法</w:t>
      </w:r>
    </w:p>
    <w:p w14:paraId="2CCE698C">
      <w:pPr>
        <w:spacing w:line="440" w:lineRule="exact"/>
        <w:ind w:firstLine="450"/>
        <w:rPr>
          <w:rFonts w:hint="eastAsia" w:ascii="宋体" w:hAnsi="宋体" w:cs="宋体"/>
          <w:color w:val="auto"/>
          <w:sz w:val="22"/>
          <w:szCs w:val="22"/>
          <w:highlight w:val="none"/>
        </w:rPr>
      </w:pPr>
      <w:r>
        <w:rPr>
          <w:rFonts w:hint="eastAsia" w:ascii="宋体" w:hAnsi="宋体" w:cs="宋体"/>
          <w:color w:val="auto"/>
          <w:sz w:val="22"/>
          <w:szCs w:val="22"/>
          <w:highlight w:val="none"/>
        </w:rPr>
        <w:t>本次采购由评标委员会推荐中标候选人。采购人根据评标委员会的推荐结果进行最终确认。若中标候选人放弃中标资格；因不可抗力提出不能履行合同；或未能在规定时间内与采购人签订合同的；或者经质疑，采购人审查后，确因排名中标候选人在本次采购活动中存在违法违规行为或其他原因使质疑成立的，采购人可以视具体情况确定是否由排名后续的</w:t>
      </w:r>
      <w:r>
        <w:rPr>
          <w:rFonts w:hint="eastAsia" w:ascii="新宋体" w:hAnsi="新宋体" w:eastAsia="新宋体" w:cs="新宋体"/>
          <w:color w:val="auto"/>
          <w:sz w:val="22"/>
          <w:szCs w:val="22"/>
          <w:highlight w:val="none"/>
        </w:rPr>
        <w:t>备选</w:t>
      </w:r>
      <w:r>
        <w:rPr>
          <w:rFonts w:hint="eastAsia" w:ascii="宋体" w:hAnsi="宋体" w:cs="宋体"/>
          <w:color w:val="auto"/>
          <w:sz w:val="22"/>
          <w:szCs w:val="22"/>
          <w:highlight w:val="none"/>
        </w:rPr>
        <w:t>中标候选人依次递补为中标人。如</w:t>
      </w:r>
      <w:r>
        <w:rPr>
          <w:rFonts w:hint="eastAsia" w:ascii="新宋体" w:hAnsi="新宋体" w:eastAsia="新宋体" w:cs="新宋体"/>
          <w:color w:val="auto"/>
          <w:sz w:val="22"/>
          <w:szCs w:val="22"/>
          <w:highlight w:val="none"/>
        </w:rPr>
        <w:t>备选</w:t>
      </w:r>
      <w:r>
        <w:rPr>
          <w:rFonts w:hint="eastAsia" w:ascii="宋体" w:hAnsi="宋体" w:cs="宋体"/>
          <w:color w:val="auto"/>
          <w:sz w:val="22"/>
          <w:szCs w:val="22"/>
          <w:highlight w:val="none"/>
        </w:rPr>
        <w:t>中标候选人因前款规定的同样原因不能签订合同的，本次采购失败，重新组织采购。</w:t>
      </w:r>
    </w:p>
    <w:p w14:paraId="7970EA06">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六、确定中标人</w:t>
      </w:r>
    </w:p>
    <w:p w14:paraId="7337B99C">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评标结束后，采购人将在浙江政府采购网、温州国企采购平台上公示中标结果。公示期结束，且在规定期限内采购代理机构将向中标人发出中标通知书。</w:t>
      </w:r>
    </w:p>
    <w:p w14:paraId="0F406430">
      <w:pPr>
        <w:adjustRightInd w:val="0"/>
        <w:snapToGrid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七、投标人义务</w:t>
      </w:r>
    </w:p>
    <w:p w14:paraId="025364DF">
      <w:pPr>
        <w:adjustRightInd w:val="0"/>
        <w:snapToGrid w:val="0"/>
        <w:spacing w:line="440" w:lineRule="exact"/>
        <w:ind w:firstLine="440" w:firstLine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投标人应随时接受评标委员会的询标，解答包括有关的商务、技术问题等。</w:t>
      </w:r>
    </w:p>
    <w:p w14:paraId="52BCDA2B">
      <w:pPr>
        <w:pStyle w:val="4"/>
        <w:spacing w:line="400" w:lineRule="exact"/>
        <w:rPr>
          <w:rFonts w:ascii="宋体" w:hAnsi="宋体" w:eastAsia="宋体" w:cs="Arial"/>
          <w:color w:val="auto"/>
          <w:sz w:val="36"/>
          <w:szCs w:val="36"/>
          <w:highlight w:val="none"/>
        </w:rPr>
      </w:pPr>
      <w:bookmarkStart w:id="155" w:name="_Toc245722287"/>
      <w:bookmarkStart w:id="156" w:name="_Toc239145360"/>
      <w:bookmarkStart w:id="157" w:name="_Toc221356894"/>
      <w:bookmarkStart w:id="158" w:name="_Toc262105510"/>
      <w:bookmarkStart w:id="159" w:name="_Toc221374632"/>
      <w:bookmarkStart w:id="160" w:name="_Toc249758871"/>
      <w:bookmarkStart w:id="161" w:name="_Toc221356957"/>
      <w:bookmarkStart w:id="162" w:name="_Toc249758721"/>
      <w:bookmarkStart w:id="163" w:name="_Toc245191320"/>
      <w:bookmarkStart w:id="164" w:name="_Toc221423625"/>
      <w:bookmarkStart w:id="165" w:name="_Toc246261271"/>
      <w:bookmarkStart w:id="166" w:name="_Toc262049425"/>
      <w:bookmarkStart w:id="167" w:name="_Toc223716004"/>
      <w:bookmarkStart w:id="168" w:name="_Toc241404208"/>
      <w:bookmarkStart w:id="169" w:name="_Toc222114885"/>
      <w:r>
        <w:rPr>
          <w:rFonts w:hint="eastAsia" w:ascii="宋体" w:hAnsi="宋体" w:cs="宋体"/>
          <w:color w:val="auto"/>
          <w:sz w:val="36"/>
          <w:szCs w:val="36"/>
          <w:highlight w:val="none"/>
        </w:rPr>
        <w:br w:type="page"/>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Toc2621"/>
      <w:bookmarkStart w:id="171" w:name="_Toc23884103"/>
      <w:r>
        <w:rPr>
          <w:rFonts w:hint="eastAsia" w:ascii="宋体" w:hAnsi="宋体" w:eastAsia="宋体" w:cs="宋体"/>
          <w:color w:val="auto"/>
          <w:sz w:val="36"/>
          <w:szCs w:val="36"/>
          <w:highlight w:val="none"/>
        </w:rPr>
        <w:t>第四部分   合同格式</w:t>
      </w:r>
      <w:bookmarkEnd w:id="170"/>
      <w:bookmarkEnd w:id="171"/>
    </w:p>
    <w:p w14:paraId="443888EB">
      <w:pPr>
        <w:spacing w:line="420" w:lineRule="exact"/>
        <w:ind w:firstLine="440" w:firstLineChars="200"/>
        <w:rPr>
          <w:rFonts w:hint="eastAsia" w:ascii="宋体" w:hAnsi="宋体" w:cs="宋体"/>
          <w:color w:val="auto"/>
          <w:sz w:val="22"/>
          <w:szCs w:val="22"/>
          <w:highlight w:val="none"/>
        </w:rPr>
      </w:pPr>
      <w:bookmarkStart w:id="172" w:name="_Toc239145361"/>
      <w:bookmarkStart w:id="173" w:name="_Toc249758872"/>
      <w:bookmarkStart w:id="174" w:name="_Toc245191321"/>
      <w:bookmarkStart w:id="175" w:name="_Toc262049426"/>
      <w:bookmarkStart w:id="176" w:name="_Toc221356960"/>
      <w:bookmarkStart w:id="177" w:name="_Toc222114886"/>
      <w:bookmarkStart w:id="178" w:name="_Toc249758722"/>
      <w:bookmarkStart w:id="179" w:name="_Toc221374633"/>
      <w:bookmarkStart w:id="180" w:name="_Toc223716005"/>
      <w:bookmarkStart w:id="181" w:name="_Toc246261272"/>
      <w:bookmarkStart w:id="182" w:name="_Toc221423626"/>
      <w:bookmarkStart w:id="183" w:name="_Toc241404209"/>
      <w:bookmarkStart w:id="184" w:name="_Toc245722288"/>
      <w:bookmarkStart w:id="185" w:name="_Toc221356897"/>
      <w:bookmarkStart w:id="186" w:name="_Toc262105511"/>
      <w:r>
        <w:rPr>
          <w:rFonts w:hint="eastAsia" w:ascii="宋体" w:hAnsi="宋体" w:cs="宋体"/>
          <w:color w:val="auto"/>
          <w:sz w:val="22"/>
          <w:szCs w:val="22"/>
          <w:highlight w:val="none"/>
        </w:rPr>
        <w:t>明：如甲、乙双方同意，合同格式也可以按照其他形式。但合同条款的基本内容应与本合同要求的内容相一致。</w:t>
      </w:r>
    </w:p>
    <w:p w14:paraId="51FB0935">
      <w:pPr>
        <w:spacing w:line="420" w:lineRule="exact"/>
        <w:ind w:firstLine="437" w:firstLineChars="198"/>
        <w:rPr>
          <w:rFonts w:hint="eastAsia" w:ascii="宋体" w:hAnsi="宋体" w:cs="宋体"/>
          <w:b/>
          <w:bCs/>
          <w:color w:val="auto"/>
          <w:sz w:val="22"/>
          <w:szCs w:val="22"/>
          <w:highlight w:val="none"/>
        </w:rPr>
      </w:pPr>
    </w:p>
    <w:p w14:paraId="7BE82539">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F45FA04">
      <w:pPr>
        <w:spacing w:line="42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乙方：</w:t>
      </w:r>
      <w:r>
        <w:rPr>
          <w:rFonts w:hint="eastAsia" w:ascii="宋体" w:hAnsi="宋体" w:cs="宋体"/>
          <w:color w:val="auto"/>
          <w:sz w:val="22"/>
          <w:szCs w:val="22"/>
          <w:highlight w:val="none"/>
          <w:u w:val="single"/>
        </w:rPr>
        <w:t xml:space="preserve">                    </w:t>
      </w:r>
    </w:p>
    <w:p w14:paraId="120FE14A">
      <w:pPr>
        <w:spacing w:line="46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鉴于甲方于   年  月  日接受乙方对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（采购项目名称、编号）的中标资格，双方根据《中华人民共和国民法典》和本项目的投标文件、采购文件及其报价中的承诺，经双方协商，同意签订本合同，共同遵守以下条款：</w:t>
      </w:r>
    </w:p>
    <w:p w14:paraId="4DFA83BF">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1.合同内容</w:t>
      </w:r>
      <w:r>
        <w:rPr>
          <w:rFonts w:hint="eastAsia" w:ascii="宋体" w:hAnsi="宋体" w:cs="宋体"/>
          <w:color w:val="auto"/>
          <w:sz w:val="22"/>
          <w:szCs w:val="22"/>
          <w:highlight w:val="none"/>
        </w:rPr>
        <w:t>：依据本项目的采购文件及</w:t>
      </w:r>
      <w:r>
        <w:rPr>
          <w:rFonts w:hint="eastAsia" w:ascii="宋体" w:hAnsi="宋体" w:cs="宋体"/>
          <w:color w:val="auto"/>
          <w:kern w:val="0"/>
          <w:sz w:val="22"/>
          <w:szCs w:val="22"/>
          <w:highlight w:val="none"/>
          <w:lang w:val="zh-CN"/>
        </w:rPr>
        <w:t>甲方</w:t>
      </w:r>
      <w:r>
        <w:rPr>
          <w:rFonts w:hint="eastAsia" w:ascii="宋体" w:hAnsi="宋体" w:cs="宋体"/>
          <w:color w:val="auto"/>
          <w:sz w:val="22"/>
          <w:szCs w:val="22"/>
          <w:highlight w:val="none"/>
        </w:rPr>
        <w:t>规定的其他服务内容。</w:t>
      </w:r>
    </w:p>
    <w:p w14:paraId="44D9E6C9">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2.合同价格</w:t>
      </w:r>
    </w:p>
    <w:p w14:paraId="764E1D52">
      <w:pPr>
        <w:spacing w:line="460" w:lineRule="exact"/>
        <w:ind w:left="105" w:leftChars="50"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本合同总价为人民币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w:t>
      </w:r>
    </w:p>
    <w:p w14:paraId="20DBABBD">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注：（1）本项目实行固定费用总包干，未经甲方同意，合同总额不得调整。</w:t>
      </w:r>
    </w:p>
    <w:p w14:paraId="0160CF17">
      <w:pPr>
        <w:spacing w:line="460" w:lineRule="exact"/>
        <w:ind w:left="1195" w:leftChars="150" w:hanging="880" w:hangingChars="4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（2）甲方有权根据实际需求对供货数量进行变更，此时合同价款根据车辆的单价及变更数量进行相应调整。</w:t>
      </w:r>
    </w:p>
    <w:p w14:paraId="3D464AAF">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3.交货时间：</w:t>
      </w:r>
    </w:p>
    <w:p w14:paraId="461A1CAC">
      <w:pPr>
        <w:spacing w:line="46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合同签订后</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日历天内安装调试上牌完毕，交付使用。</w:t>
      </w:r>
    </w:p>
    <w:p w14:paraId="5502675E">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4.免费质保期：</w:t>
      </w:r>
    </w:p>
    <w:p w14:paraId="79671CA4">
      <w:pPr>
        <w:spacing w:line="460" w:lineRule="exact"/>
        <w:rPr>
          <w:rFonts w:hint="eastAsia" w:ascii="宋体" w:hAnsi="宋体" w:cs="宋体"/>
          <w:bCs/>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bCs/>
          <w:color w:val="auto"/>
          <w:sz w:val="22"/>
          <w:szCs w:val="22"/>
          <w:highlight w:val="none"/>
        </w:rPr>
        <w:t xml:space="preserve"> （1）车辆质保期：整车保修免费质保期不得少于</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年，若乙方给予延长质保期各部件质保期按乙方对外承诺的标准执行，但不得少于</w:t>
      </w:r>
      <w:r>
        <w:rPr>
          <w:rFonts w:hint="eastAsia" w:ascii="宋体" w:hAnsi="宋体" w:cs="宋体"/>
          <w:bCs/>
          <w:color w:val="auto"/>
          <w:sz w:val="22"/>
          <w:szCs w:val="22"/>
          <w:highlight w:val="none"/>
          <w:u w:val="single"/>
        </w:rPr>
        <w:t xml:space="preserve">  年</w:t>
      </w:r>
      <w:r>
        <w:rPr>
          <w:rFonts w:hint="eastAsia" w:ascii="宋体" w:hAnsi="宋体" w:cs="宋体"/>
          <w:bCs/>
          <w:color w:val="auto"/>
          <w:sz w:val="22"/>
          <w:szCs w:val="22"/>
          <w:highlight w:val="none"/>
        </w:rPr>
        <w:t xml:space="preserve">。（附整车主要零部件免费质保清单） </w:t>
      </w:r>
    </w:p>
    <w:p w14:paraId="01FD8BC8">
      <w:pPr>
        <w:spacing w:line="460" w:lineRule="exact"/>
        <w:ind w:firstLine="215" w:firstLineChars="98"/>
        <w:rPr>
          <w:rFonts w:hint="eastAsia" w:ascii="宋体" w:hAnsi="宋体" w:cs="宋体"/>
          <w:bCs/>
          <w:color w:val="auto"/>
          <w:sz w:val="22"/>
          <w:szCs w:val="22"/>
          <w:highlight w:val="none"/>
        </w:rPr>
      </w:pPr>
      <w:r>
        <w:rPr>
          <w:rFonts w:hint="eastAsia" w:ascii="宋体" w:hAnsi="宋体" w:cs="宋体"/>
          <w:bCs/>
          <w:color w:val="auto"/>
          <w:sz w:val="22"/>
          <w:szCs w:val="22"/>
          <w:highlight w:val="none"/>
        </w:rPr>
        <w:t>（2）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p>
    <w:p w14:paraId="22EF8F15">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  （3）乙方在针对本项目的投标文件中提供的在保质期内的其他服务承诺也须执行。</w:t>
      </w:r>
    </w:p>
    <w:p w14:paraId="0F12E54C">
      <w:pPr>
        <w:spacing w:line="460" w:lineRule="exact"/>
        <w:ind w:firstLine="215" w:firstLineChars="98"/>
        <w:rPr>
          <w:rFonts w:hint="eastAsia" w:ascii="宋体" w:hAnsi="宋体" w:cs="宋体"/>
          <w:bCs/>
          <w:color w:val="auto"/>
          <w:sz w:val="22"/>
          <w:szCs w:val="22"/>
          <w:highlight w:val="none"/>
        </w:rPr>
      </w:pPr>
      <w:r>
        <w:rPr>
          <w:rFonts w:hint="eastAsia" w:ascii="宋体" w:hAnsi="宋体" w:cs="宋体"/>
          <w:bCs/>
          <w:color w:val="auto"/>
          <w:sz w:val="22"/>
          <w:szCs w:val="22"/>
          <w:highlight w:val="none"/>
        </w:rPr>
        <w:t>（4）乙方须对整车质量负责，无论零部件是标配或选配。</w:t>
      </w:r>
    </w:p>
    <w:p w14:paraId="68E447A8">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5. 车辆清单、费用支付</w:t>
      </w:r>
    </w:p>
    <w:p w14:paraId="0EDC1917">
      <w:pPr>
        <w:spacing w:line="460" w:lineRule="exact"/>
        <w:ind w:left="440"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5.1车辆清单</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20"/>
        <w:gridCol w:w="2520"/>
        <w:gridCol w:w="1440"/>
        <w:gridCol w:w="1352"/>
      </w:tblGrid>
      <w:tr w14:paraId="4414A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68" w:type="dxa"/>
            <w:noWrap w:val="0"/>
            <w:vAlign w:val="center"/>
          </w:tcPr>
          <w:p w14:paraId="128219C2">
            <w:pPr>
              <w:spacing w:line="460" w:lineRule="exact"/>
              <w:ind w:firstLine="330" w:firstLineChars="1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2520" w:type="dxa"/>
            <w:noWrap w:val="0"/>
            <w:vAlign w:val="center"/>
          </w:tcPr>
          <w:p w14:paraId="1A0A74C1">
            <w:pPr>
              <w:spacing w:line="460" w:lineRule="exact"/>
              <w:ind w:firstLine="330" w:firstLineChars="1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2520" w:type="dxa"/>
            <w:noWrap w:val="0"/>
            <w:vAlign w:val="center"/>
          </w:tcPr>
          <w:p w14:paraId="7543A4EC">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440" w:type="dxa"/>
            <w:noWrap w:val="0"/>
            <w:vAlign w:val="center"/>
          </w:tcPr>
          <w:p w14:paraId="6A953974">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1352" w:type="dxa"/>
            <w:noWrap w:val="0"/>
            <w:vAlign w:val="center"/>
          </w:tcPr>
          <w:p w14:paraId="42E480B2">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04580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8" w:type="dxa"/>
            <w:noWrap w:val="0"/>
            <w:vAlign w:val="center"/>
          </w:tcPr>
          <w:p w14:paraId="4411E41F">
            <w:pPr>
              <w:spacing w:line="460" w:lineRule="exact"/>
              <w:ind w:firstLine="330" w:firstLineChars="150"/>
              <w:jc w:val="center"/>
              <w:rPr>
                <w:rFonts w:hint="eastAsia" w:ascii="宋体" w:hAnsi="宋体" w:eastAsia="宋体" w:cs="宋体"/>
                <w:color w:val="auto"/>
                <w:sz w:val="22"/>
                <w:szCs w:val="22"/>
                <w:highlight w:val="none"/>
              </w:rPr>
            </w:pPr>
          </w:p>
        </w:tc>
        <w:tc>
          <w:tcPr>
            <w:tcW w:w="2520" w:type="dxa"/>
            <w:noWrap w:val="0"/>
            <w:vAlign w:val="center"/>
          </w:tcPr>
          <w:p w14:paraId="269B515F">
            <w:pPr>
              <w:spacing w:line="460" w:lineRule="exact"/>
              <w:ind w:firstLine="330" w:firstLineChars="150"/>
              <w:jc w:val="center"/>
              <w:rPr>
                <w:rFonts w:hint="eastAsia" w:ascii="宋体" w:hAnsi="宋体" w:eastAsia="宋体" w:cs="宋体"/>
                <w:color w:val="auto"/>
                <w:sz w:val="22"/>
                <w:szCs w:val="22"/>
                <w:highlight w:val="none"/>
              </w:rPr>
            </w:pPr>
          </w:p>
        </w:tc>
        <w:tc>
          <w:tcPr>
            <w:tcW w:w="2520" w:type="dxa"/>
            <w:noWrap w:val="0"/>
            <w:vAlign w:val="center"/>
          </w:tcPr>
          <w:p w14:paraId="76CD75FA">
            <w:pPr>
              <w:spacing w:line="460" w:lineRule="exact"/>
              <w:ind w:firstLine="330" w:firstLineChars="150"/>
              <w:jc w:val="center"/>
              <w:rPr>
                <w:rFonts w:hint="eastAsia" w:ascii="宋体" w:hAnsi="宋体" w:eastAsia="宋体" w:cs="宋体"/>
                <w:color w:val="auto"/>
                <w:sz w:val="22"/>
                <w:szCs w:val="22"/>
                <w:highlight w:val="none"/>
              </w:rPr>
            </w:pPr>
          </w:p>
        </w:tc>
        <w:tc>
          <w:tcPr>
            <w:tcW w:w="1440" w:type="dxa"/>
            <w:noWrap w:val="0"/>
            <w:vAlign w:val="center"/>
          </w:tcPr>
          <w:p w14:paraId="417E2CF2">
            <w:pPr>
              <w:spacing w:line="460" w:lineRule="exact"/>
              <w:ind w:firstLine="330" w:firstLineChars="150"/>
              <w:jc w:val="center"/>
              <w:rPr>
                <w:rFonts w:hint="eastAsia" w:ascii="宋体" w:hAnsi="宋体" w:eastAsia="宋体" w:cs="宋体"/>
                <w:color w:val="auto"/>
                <w:sz w:val="22"/>
                <w:szCs w:val="22"/>
                <w:highlight w:val="none"/>
              </w:rPr>
            </w:pPr>
          </w:p>
        </w:tc>
        <w:tc>
          <w:tcPr>
            <w:tcW w:w="1352" w:type="dxa"/>
            <w:noWrap w:val="0"/>
            <w:vAlign w:val="center"/>
          </w:tcPr>
          <w:p w14:paraId="31811D82">
            <w:pPr>
              <w:spacing w:line="460" w:lineRule="exact"/>
              <w:ind w:firstLine="330" w:firstLineChars="150"/>
              <w:jc w:val="center"/>
              <w:rPr>
                <w:rFonts w:hint="eastAsia" w:ascii="宋体" w:hAnsi="宋体" w:eastAsia="宋体" w:cs="宋体"/>
                <w:color w:val="auto"/>
                <w:sz w:val="22"/>
                <w:szCs w:val="22"/>
                <w:highlight w:val="none"/>
              </w:rPr>
            </w:pPr>
          </w:p>
        </w:tc>
      </w:tr>
    </w:tbl>
    <w:p w14:paraId="056BE439">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5.2 </w:t>
      </w:r>
      <w:r>
        <w:rPr>
          <w:rFonts w:hint="eastAsia" w:ascii="宋体" w:hAnsi="宋体" w:cs="宋体"/>
          <w:b/>
          <w:color w:val="auto"/>
          <w:sz w:val="22"/>
          <w:szCs w:val="22"/>
          <w:highlight w:val="none"/>
        </w:rPr>
        <w:t>付款方式</w:t>
      </w:r>
    </w:p>
    <w:p w14:paraId="39A5719C">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1．本项目采取分阶段付款方式。</w:t>
      </w:r>
    </w:p>
    <w:p w14:paraId="042C046A">
      <w:pPr>
        <w:spacing w:line="460" w:lineRule="exact"/>
        <w:ind w:firstLine="442" w:firstLineChars="200"/>
        <w:textAlignment w:val="baseline"/>
        <w:rPr>
          <w:color w:val="auto"/>
          <w:highlight w:val="none"/>
        </w:rPr>
      </w:pP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rPr>
        <w:t>．付款方式为：</w:t>
      </w:r>
      <w:bookmarkStart w:id="187" w:name="OLE_LINK12"/>
      <w:bookmarkEnd w:id="187"/>
      <w:r>
        <w:rPr>
          <w:rFonts w:hint="eastAsia" w:ascii="宋体" w:hAnsi="宋体" w:cs="宋体"/>
          <w:b/>
          <w:bCs/>
          <w:color w:val="auto"/>
          <w:kern w:val="0"/>
          <w:sz w:val="22"/>
          <w:szCs w:val="22"/>
          <w:highlight w:val="none"/>
          <w:u w:val="single"/>
        </w:rPr>
        <w:t>合同签订</w:t>
      </w:r>
      <w:r>
        <w:rPr>
          <w:rFonts w:hint="eastAsia" w:ascii="宋体" w:hAnsi="宋体" w:cs="宋体"/>
          <w:b/>
          <w:bCs/>
          <w:color w:val="auto"/>
          <w:kern w:val="0"/>
          <w:sz w:val="22"/>
          <w:szCs w:val="22"/>
          <w:highlight w:val="none"/>
          <w:u w:val="single"/>
          <w:lang w:val="en-US" w:eastAsia="zh-CN"/>
        </w:rPr>
        <w:t>后，乙方支付合同价10%的履约保证金；</w:t>
      </w:r>
      <w:r>
        <w:rPr>
          <w:rFonts w:hint="eastAsia" w:ascii="宋体" w:hAnsi="宋体" w:cs="宋体"/>
          <w:b/>
          <w:bCs/>
          <w:color w:val="auto"/>
          <w:kern w:val="0"/>
          <w:sz w:val="22"/>
          <w:szCs w:val="22"/>
          <w:highlight w:val="none"/>
          <w:u w:val="single"/>
        </w:rPr>
        <w:t>待完成全部货物的生产、运输、安装、调试、车辆</w:t>
      </w:r>
      <w:r>
        <w:rPr>
          <w:rFonts w:hint="eastAsia" w:ascii="宋体" w:hAnsi="宋体" w:cs="宋体"/>
          <w:b/>
          <w:bCs/>
          <w:color w:val="auto"/>
          <w:kern w:val="0"/>
          <w:sz w:val="22"/>
          <w:szCs w:val="22"/>
          <w:highlight w:val="none"/>
          <w:u w:val="single"/>
          <w:lang w:val="en-US" w:eastAsia="zh-CN"/>
        </w:rPr>
        <w:t>交付、完成</w:t>
      </w:r>
      <w:r>
        <w:rPr>
          <w:rFonts w:hint="eastAsia" w:ascii="宋体" w:hAnsi="宋体" w:cs="宋体"/>
          <w:b/>
          <w:bCs/>
          <w:color w:val="auto"/>
          <w:kern w:val="0"/>
          <w:sz w:val="22"/>
          <w:szCs w:val="22"/>
          <w:highlight w:val="none"/>
          <w:u w:val="single"/>
        </w:rPr>
        <w:t>上牌并通过最终验收合格后15个工作日内，甲方向乙方支付</w:t>
      </w:r>
      <w:r>
        <w:rPr>
          <w:rFonts w:hint="eastAsia" w:ascii="宋体" w:hAnsi="宋体" w:cs="宋体"/>
          <w:b/>
          <w:bCs/>
          <w:color w:val="auto"/>
          <w:kern w:val="0"/>
          <w:sz w:val="22"/>
          <w:szCs w:val="22"/>
          <w:highlight w:val="none"/>
          <w:u w:val="single"/>
          <w:lang w:val="en-US" w:eastAsia="zh-CN"/>
        </w:rPr>
        <w:t>至</w:t>
      </w:r>
      <w:r>
        <w:rPr>
          <w:rFonts w:hint="eastAsia" w:ascii="宋体" w:hAnsi="宋体" w:cs="宋体"/>
          <w:b/>
          <w:bCs/>
          <w:color w:val="auto"/>
          <w:kern w:val="0"/>
          <w:sz w:val="22"/>
          <w:szCs w:val="22"/>
          <w:highlight w:val="none"/>
          <w:u w:val="single"/>
        </w:rPr>
        <w:t>合同总额95%的货款（乙方必须</w:t>
      </w:r>
      <w:r>
        <w:rPr>
          <w:rFonts w:hint="eastAsia" w:ascii="宋体" w:hAnsi="宋体" w:cs="宋体"/>
          <w:b/>
          <w:bCs/>
          <w:color w:val="auto"/>
          <w:kern w:val="0"/>
          <w:sz w:val="22"/>
          <w:szCs w:val="22"/>
          <w:highlight w:val="none"/>
          <w:u w:val="single"/>
          <w:lang w:val="en-US" w:eastAsia="zh-CN"/>
        </w:rPr>
        <w:t>提前</w:t>
      </w:r>
      <w:r>
        <w:rPr>
          <w:rFonts w:hint="eastAsia" w:ascii="宋体" w:hAnsi="宋体" w:cs="宋体"/>
          <w:b/>
          <w:bCs/>
          <w:color w:val="auto"/>
          <w:kern w:val="0"/>
          <w:sz w:val="22"/>
          <w:szCs w:val="22"/>
          <w:highlight w:val="none"/>
          <w:u w:val="single"/>
        </w:rPr>
        <w:t>开具合同金额100%的正规有效的增值税专用发票）</w:t>
      </w:r>
      <w:r>
        <w:rPr>
          <w:rFonts w:hint="eastAsia" w:ascii="宋体" w:hAnsi="宋体" w:cs="宋体"/>
          <w:b/>
          <w:bCs/>
          <w:color w:val="auto"/>
          <w:kern w:val="0"/>
          <w:sz w:val="22"/>
          <w:szCs w:val="22"/>
          <w:highlight w:val="none"/>
          <w:u w:val="single"/>
          <w:lang w:eastAsia="zh-CN"/>
        </w:rPr>
        <w:t>；</w:t>
      </w:r>
      <w:r>
        <w:rPr>
          <w:rFonts w:hint="eastAsia" w:ascii="宋体" w:hAnsi="宋体" w:cs="宋体"/>
          <w:b/>
          <w:bCs/>
          <w:color w:val="auto"/>
          <w:kern w:val="0"/>
          <w:sz w:val="22"/>
          <w:szCs w:val="22"/>
          <w:highlight w:val="none"/>
          <w:u w:val="single"/>
        </w:rPr>
        <w:t>合同剩余5%的货款作为质量保证金，最终验收</w:t>
      </w:r>
      <w:r>
        <w:rPr>
          <w:rFonts w:hint="eastAsia" w:ascii="宋体" w:hAnsi="宋体" w:cs="宋体"/>
          <w:b/>
          <w:bCs/>
          <w:color w:val="auto"/>
          <w:kern w:val="0"/>
          <w:sz w:val="22"/>
          <w:szCs w:val="22"/>
          <w:highlight w:val="none"/>
          <w:u w:val="single"/>
          <w:lang w:val="en-US" w:eastAsia="zh-CN"/>
        </w:rPr>
        <w:t>合格</w:t>
      </w:r>
      <w:r>
        <w:rPr>
          <w:rFonts w:hint="eastAsia" w:ascii="宋体" w:hAnsi="宋体" w:cs="宋体"/>
          <w:b/>
          <w:bCs/>
          <w:color w:val="auto"/>
          <w:kern w:val="0"/>
          <w:sz w:val="22"/>
          <w:szCs w:val="22"/>
          <w:highlight w:val="none"/>
          <w:u w:val="single"/>
        </w:rPr>
        <w:t>满一年后</w:t>
      </w:r>
      <w:r>
        <w:rPr>
          <w:rFonts w:hint="eastAsia" w:ascii="宋体" w:hAnsi="宋体" w:cs="宋体"/>
          <w:b/>
          <w:bCs/>
          <w:color w:val="auto"/>
          <w:kern w:val="0"/>
          <w:sz w:val="22"/>
          <w:szCs w:val="22"/>
          <w:highlight w:val="none"/>
          <w:u w:val="single"/>
          <w:lang w:eastAsia="zh-CN"/>
        </w:rPr>
        <w:t>，</w:t>
      </w:r>
      <w:r>
        <w:rPr>
          <w:rFonts w:hint="eastAsia" w:ascii="宋体" w:hAnsi="宋体" w:cs="宋体"/>
          <w:b/>
          <w:bCs/>
          <w:color w:val="auto"/>
          <w:kern w:val="0"/>
          <w:sz w:val="22"/>
          <w:szCs w:val="22"/>
          <w:highlight w:val="none"/>
          <w:u w:val="single"/>
        </w:rPr>
        <w:t>无质量及服务问题15个工作日内一次性无息付清。</w:t>
      </w:r>
    </w:p>
    <w:p w14:paraId="7BDBF35A">
      <w:pPr>
        <w:spacing w:line="460" w:lineRule="exact"/>
        <w:ind w:firstLine="663" w:firstLineChars="300"/>
        <w:textAlignment w:val="baseline"/>
        <w:rPr>
          <w:rFonts w:hint="eastAsia" w:ascii="宋体" w:hAnsi="宋体" w:eastAsia="宋体" w:cs="宋体"/>
          <w:b/>
          <w:bCs/>
          <w:color w:val="auto"/>
          <w:kern w:val="0"/>
          <w:sz w:val="22"/>
          <w:szCs w:val="22"/>
          <w:highlight w:val="none"/>
          <w:u w:val="single"/>
          <w:lang w:eastAsia="zh-CN"/>
        </w:rPr>
      </w:pPr>
      <w:r>
        <w:rPr>
          <w:rFonts w:hint="eastAsia" w:ascii="宋体" w:hAnsi="宋体" w:eastAsia="宋体" w:cs="宋体"/>
          <w:b/>
          <w:bCs/>
          <w:color w:val="auto"/>
          <w:kern w:val="0"/>
          <w:sz w:val="22"/>
          <w:szCs w:val="22"/>
          <w:highlight w:val="none"/>
          <w:u w:val="single"/>
          <w:lang w:val="en-US" w:eastAsia="zh-CN"/>
        </w:rPr>
        <w:t>履约保证金退还：车辆通过最终验收合格后30个工作日内，甲方退还履约</w:t>
      </w:r>
      <w:r>
        <w:rPr>
          <w:rFonts w:hint="eastAsia" w:ascii="宋体" w:hAnsi="宋体" w:cs="宋体"/>
          <w:b/>
          <w:bCs/>
          <w:color w:val="auto"/>
          <w:kern w:val="0"/>
          <w:sz w:val="22"/>
          <w:szCs w:val="22"/>
          <w:highlight w:val="none"/>
          <w:u w:val="single"/>
          <w:lang w:val="en-US" w:eastAsia="zh-CN"/>
        </w:rPr>
        <w:t>保证金</w:t>
      </w:r>
      <w:r>
        <w:rPr>
          <w:rFonts w:hint="eastAsia" w:ascii="宋体" w:hAnsi="宋体" w:eastAsia="宋体" w:cs="宋体"/>
          <w:b/>
          <w:bCs/>
          <w:color w:val="auto"/>
          <w:kern w:val="0"/>
          <w:sz w:val="22"/>
          <w:szCs w:val="22"/>
          <w:highlight w:val="none"/>
          <w:u w:val="single"/>
          <w:lang w:val="en-US" w:eastAsia="zh-CN"/>
        </w:rPr>
        <w:t>（无息）。</w:t>
      </w:r>
    </w:p>
    <w:p w14:paraId="7CC109CE">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6. 售后服务 </w:t>
      </w:r>
    </w:p>
    <w:p w14:paraId="317A2545">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在车辆整个保修期内，乙方应确保车辆的正常使用。在接到甲方维修要求后应立即作出回应，并在24小时内派员到达甲方现场实施维修。维修过程中所需零配件乙方在接到通知后最长不超过7天必须送达甲方。</w:t>
      </w:r>
    </w:p>
    <w:p w14:paraId="5EAEC5EC">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免费质保期从本项目最终验收合格，正式交付使用之日起计算；</w:t>
      </w:r>
    </w:p>
    <w:p w14:paraId="453B234D">
      <w:pPr>
        <w:numPr>
          <w:ilvl w:val="0"/>
          <w:numId w:val="30"/>
        </w:num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验收</w:t>
      </w:r>
    </w:p>
    <w:p w14:paraId="16D05D05">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7.1 验收标准</w:t>
      </w:r>
    </w:p>
    <w:p w14:paraId="0AECA74B">
      <w:pPr>
        <w:spacing w:line="460" w:lineRule="exact"/>
        <w:ind w:firstLine="330" w:firstLineChars="150"/>
        <w:rPr>
          <w:rFonts w:hint="eastAsia" w:ascii="宋体" w:hAnsi="宋体" w:cs="宋体"/>
          <w:bCs/>
          <w:color w:val="auto"/>
          <w:sz w:val="22"/>
          <w:szCs w:val="22"/>
          <w:highlight w:val="none"/>
        </w:rPr>
      </w:pPr>
      <w:r>
        <w:rPr>
          <w:rFonts w:hint="eastAsia" w:ascii="宋体" w:hAnsi="宋体" w:cs="宋体"/>
          <w:bCs/>
          <w:color w:val="auto"/>
          <w:sz w:val="22"/>
          <w:szCs w:val="22"/>
          <w:highlight w:val="none"/>
        </w:rPr>
        <w:t>1）车辆应符合相关国家标准及行业的标准和要求，以及乙方在针对本项目的投标文件中所明示达到的各项技术指标要求。</w:t>
      </w:r>
    </w:p>
    <w:p w14:paraId="4338DD62">
      <w:pPr>
        <w:spacing w:line="46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2）甲方组织进行验收，如果车辆的质量和规格与合同不符，或在规定的质量保证期内证实车辆具有缺陷的，包括潜在缺陷或使用不符合要求的材料，有权向乙方提出索赔。</w:t>
      </w:r>
    </w:p>
    <w:p w14:paraId="59FBA3CB">
      <w:pPr>
        <w:spacing w:line="46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rPr>
        <w:t>3）甲方组织进行验收时，</w:t>
      </w:r>
      <w:r>
        <w:rPr>
          <w:rFonts w:hint="eastAsia" w:ascii="宋体" w:hAnsi="宋体" w:cs="宋体"/>
          <w:color w:val="auto"/>
          <w:sz w:val="22"/>
          <w:szCs w:val="22"/>
          <w:highlight w:val="none"/>
        </w:rPr>
        <w:t>乙方应派人员同甲方一起在甲方指定停车场时进行到货验收。若发现任何损坏及质量问题，乙方应负责更换，并妥善处理直至买方满意。此工作所发生费用应由乙方自行承担。</w:t>
      </w:r>
    </w:p>
    <w:p w14:paraId="1CED94B0">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4）车辆验收时，递交报告，包括但不限于①发动机原厂出厂试验报告，主要外购件的检测报告；</w:t>
      </w:r>
      <w:r>
        <w:rPr>
          <w:rFonts w:ascii="宋体" w:hAnsi="宋体" w:cs="宋体"/>
          <w:color w:val="auto"/>
          <w:sz w:val="22"/>
          <w:szCs w:val="22"/>
          <w:highlight w:val="none"/>
        </w:rPr>
        <w:t>②</w:t>
      </w:r>
      <w:r>
        <w:rPr>
          <w:rFonts w:hint="eastAsia" w:ascii="宋体" w:hAnsi="宋体" w:cs="宋体"/>
          <w:color w:val="auto"/>
          <w:sz w:val="22"/>
          <w:szCs w:val="22"/>
          <w:highlight w:val="none"/>
        </w:rPr>
        <w:t>整车的检测报告和“产品使用说明书”；</w:t>
      </w:r>
      <w:r>
        <w:rPr>
          <w:rFonts w:ascii="宋体" w:hAnsi="宋体" w:cs="宋体"/>
          <w:color w:val="auto"/>
          <w:sz w:val="22"/>
          <w:szCs w:val="22"/>
          <w:highlight w:val="none"/>
        </w:rPr>
        <w:t>③</w:t>
      </w:r>
      <w:r>
        <w:rPr>
          <w:rFonts w:hint="eastAsia" w:ascii="宋体" w:hAnsi="宋体" w:cs="宋体"/>
          <w:color w:val="auto"/>
          <w:sz w:val="22"/>
          <w:szCs w:val="22"/>
          <w:highlight w:val="none"/>
        </w:rPr>
        <w:t>随机带的配件和易损件，专用工具清单；④随车带的配件和易损件，专用工具清单；</w:t>
      </w:r>
    </w:p>
    <w:p w14:paraId="6F312CE9">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检查内容包括但不限于①车辆漆面必须是原厂漆面，应清洁光亮，不得有脱漆、划痕和瘪；②车辆内部的座椅及其他内饰件应完整、清洁、不得有划伤、污点，使用时应方便、灵活；③车辆内、外部的灯光应齐全；空调、音响应完好无损，效果应达到国家标准；④车辆行驶过程中，不得有异常响声，制动（包括手制动）转向灵活，有效；汽车的动力性能和经济性能符合设计要求；尾部排放应符合国家标准；⑤卖方应主动协助采购人对车辆时行检验，查验发动机号，底盘号，交付所有证件、工具和主、副钥匙；⑥办理汽车市内移动证或临时牌照；⑦协助采购人做好新车的走合保养。</w:t>
      </w:r>
    </w:p>
    <w:p w14:paraId="358D48CD">
      <w:pPr>
        <w:spacing w:line="460" w:lineRule="exact"/>
        <w:ind w:firstLine="442" w:firstLineChars="20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▲6）技术协议也作为验收标准的文本之一。</w:t>
      </w:r>
    </w:p>
    <w:p w14:paraId="1ABF1BDD">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7.2 验收方法</w:t>
      </w:r>
    </w:p>
    <w:p w14:paraId="73803FCE">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1）乙方自检：安装完毕后，要求乙方自行对所有车辆进行检验，检验结果必须符合验收标准的要求。</w:t>
      </w:r>
    </w:p>
    <w:p w14:paraId="57C42FFC">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2）最终验收：乙方须提供通过有关部门的验证检查所需的全部资料，甲方按采购文件、投标文件以及合同款进行验收。车辆应完全符合乙方针对本项目的投标文件承诺内容及本项目采购文件要求，在此期间，如果发现车辆质量有问题，或者与乙方在针对本项目的投标文件中的投标车辆存在差异，甲方有权拒收车辆并由乙方承担全部责任及费用，乙方应无条件免费更换车辆直至验收合格。</w:t>
      </w:r>
    </w:p>
    <w:p w14:paraId="05947EF9">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8.交货</w:t>
      </w:r>
    </w:p>
    <w:p w14:paraId="27C42C37">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8.1 合同交货：乙方应在甲方要求的交货时间内完成车辆的安装、调试及通过验收，并移交甲方。</w:t>
      </w:r>
    </w:p>
    <w:p w14:paraId="3DF70B41">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8.2 交货地点：采购人指定地点。</w:t>
      </w:r>
    </w:p>
    <w:p w14:paraId="70984980">
      <w:pPr>
        <w:tabs>
          <w:tab w:val="left" w:pos="5760"/>
        </w:tabs>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8.3 交货方式：在交货地点，经甲方验收合格，乙方协助上牌后为正式交货。因乙方原因造成拖延上牌的，视为延期交货。</w:t>
      </w:r>
      <w:r>
        <w:rPr>
          <w:rFonts w:hint="eastAsia" w:ascii="宋体" w:hAnsi="宋体" w:cs="宋体"/>
          <w:b/>
          <w:bCs/>
          <w:color w:val="auto"/>
          <w:sz w:val="22"/>
          <w:szCs w:val="22"/>
          <w:highlight w:val="none"/>
        </w:rPr>
        <w:t>甲方有权解除合同并</w:t>
      </w:r>
      <w:r>
        <w:rPr>
          <w:rFonts w:hint="eastAsia" w:ascii="宋体" w:hAnsi="宋体" w:cs="宋体"/>
          <w:b/>
          <w:bCs/>
          <w:color w:val="auto"/>
          <w:sz w:val="22"/>
          <w:szCs w:val="22"/>
          <w:highlight w:val="none"/>
          <w:lang w:val="en-US" w:eastAsia="zh-CN"/>
        </w:rPr>
        <w:t>扣除履约保证金，履约保证金不足以补偿甲方损失的，剩余的部分由乙方另行赔偿</w:t>
      </w:r>
      <w:r>
        <w:rPr>
          <w:rFonts w:hint="eastAsia" w:ascii="宋体" w:hAnsi="宋体" w:cs="宋体"/>
          <w:bCs/>
          <w:color w:val="auto"/>
          <w:sz w:val="22"/>
          <w:szCs w:val="22"/>
          <w:highlight w:val="none"/>
        </w:rPr>
        <w:t>。</w:t>
      </w:r>
    </w:p>
    <w:p w14:paraId="0BB1F9A4">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8.4 交付后车辆须包含不少于15升柴油。</w:t>
      </w:r>
    </w:p>
    <w:p w14:paraId="3A38EA5D">
      <w:pPr>
        <w:tabs>
          <w:tab w:val="left" w:pos="1080"/>
        </w:tabs>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9.争议解决</w:t>
      </w:r>
    </w:p>
    <w:p w14:paraId="20045924">
      <w:pPr>
        <w:tabs>
          <w:tab w:val="left" w:pos="1080"/>
        </w:tabs>
        <w:spacing w:line="460" w:lineRule="exact"/>
        <w:ind w:left="328" w:leftChars="156"/>
        <w:rPr>
          <w:rFonts w:hint="eastAsia" w:ascii="宋体" w:hAnsi="宋体" w:cs="宋体"/>
          <w:color w:val="auto"/>
          <w:sz w:val="22"/>
          <w:szCs w:val="22"/>
          <w:highlight w:val="none"/>
        </w:rPr>
      </w:pPr>
      <w:r>
        <w:rPr>
          <w:rFonts w:hint="eastAsia" w:ascii="宋体" w:hAnsi="宋体" w:cs="宋体"/>
          <w:color w:val="auto"/>
          <w:sz w:val="22"/>
          <w:szCs w:val="22"/>
          <w:highlight w:val="none"/>
        </w:rPr>
        <w:t>凡由本合同引起的或与解释或执行本合同有关的任何争议，甲乙双方应首先通过友好协商或调解解决。若协商或调解不成，双方约定：向</w:t>
      </w:r>
      <w:r>
        <w:rPr>
          <w:rFonts w:hint="eastAsia" w:ascii="宋体" w:hAnsi="宋体" w:cs="宋体"/>
          <w:color w:val="auto"/>
          <w:sz w:val="22"/>
          <w:szCs w:val="22"/>
          <w:highlight w:val="none"/>
          <w:lang w:val="en-US" w:eastAsia="zh-CN"/>
        </w:rPr>
        <w:t>温州</w:t>
      </w:r>
      <w:r>
        <w:rPr>
          <w:rFonts w:hint="eastAsia" w:ascii="宋体" w:hAnsi="宋体" w:cs="宋体"/>
          <w:color w:val="auto"/>
          <w:sz w:val="22"/>
          <w:szCs w:val="22"/>
          <w:highlight w:val="none"/>
        </w:rPr>
        <w:t>仲裁委员会申请仲裁，仲裁应依据该委员会当时的仲裁规则进行；仲裁裁决是终局的，对甲乙双方都有约束力；仲裁费用应由败诉方承担，除非仲裁裁决另有裁定。</w:t>
      </w:r>
    </w:p>
    <w:p w14:paraId="34B6F4A4">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10．合同生效及其他</w:t>
      </w:r>
    </w:p>
    <w:p w14:paraId="50E937E1">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10.1 合同应在双方签字盖章后开始生效。</w:t>
      </w:r>
    </w:p>
    <w:p w14:paraId="04084C04">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10.2 本合同一式陆份，双方各执叁份，具有同等法律效力。</w:t>
      </w:r>
    </w:p>
    <w:p w14:paraId="76BDBC05">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10.3如需修改或补充合同内容，经协商，双方应签署书面修改或补充协议，该协议将作为本合同的一个组成部分。</w:t>
      </w:r>
    </w:p>
    <w:p w14:paraId="2E75BCC8">
      <w:pPr>
        <w:spacing w:line="360" w:lineRule="exact"/>
        <w:rPr>
          <w:rFonts w:hint="eastAsia" w:ascii="宋体" w:hAnsi="宋体" w:cs="宋体"/>
          <w:color w:val="auto"/>
          <w:sz w:val="22"/>
          <w:szCs w:val="22"/>
          <w:highlight w:val="none"/>
        </w:rPr>
      </w:pPr>
    </w:p>
    <w:p w14:paraId="311C31C8">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甲方（盖章）：                                         乙方（盖章）： </w:t>
      </w:r>
    </w:p>
    <w:p w14:paraId="024CA548">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法人代表：                                             法人代表：                </w:t>
      </w:r>
    </w:p>
    <w:p w14:paraId="456B04DC">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委托代理人（签字）：                                   委托代理人（签字）： </w:t>
      </w:r>
    </w:p>
    <w:p w14:paraId="6100BB7A">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联系电话：                                             联系电话：                                                                          </w:t>
      </w:r>
    </w:p>
    <w:p w14:paraId="29D9D7DF">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地    址：                                             手    机：  </w:t>
      </w:r>
    </w:p>
    <w:p w14:paraId="512C4324">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开户名称：                                             开户名称： </w:t>
      </w:r>
    </w:p>
    <w:p w14:paraId="69677959">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                                             开户银行（与发票一致）：</w:t>
      </w:r>
    </w:p>
    <w:p w14:paraId="56004DE9">
      <w:pPr>
        <w:rPr>
          <w:rFonts w:hint="eastAsia" w:ascii="宋体" w:hAnsi="宋体" w:cs="宋体"/>
          <w:color w:val="auto"/>
          <w:sz w:val="36"/>
          <w:szCs w:val="36"/>
          <w:highlight w:val="none"/>
        </w:rPr>
      </w:pPr>
      <w:r>
        <w:rPr>
          <w:rFonts w:hint="eastAsia" w:ascii="宋体" w:hAnsi="宋体" w:cs="宋体"/>
          <w:color w:val="auto"/>
          <w:sz w:val="22"/>
          <w:szCs w:val="22"/>
          <w:highlight w:val="none"/>
        </w:rPr>
        <w:t>账号：                                                 账号（与发票一致）：</w:t>
      </w:r>
      <w:bookmarkStart w:id="188" w:name="_Toc8971"/>
    </w:p>
    <w:p w14:paraId="7492B3D5">
      <w:pPr>
        <w:pStyle w:val="4"/>
        <w:spacing w:line="400" w:lineRule="exac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第五部分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color w:val="auto"/>
          <w:sz w:val="36"/>
          <w:szCs w:val="36"/>
          <w:highlight w:val="none"/>
        </w:rPr>
        <w:t>附件</w:t>
      </w:r>
      <w:bookmarkEnd w:id="188"/>
    </w:p>
    <w:p w14:paraId="47D81817">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附件一</w:t>
      </w:r>
    </w:p>
    <w:p w14:paraId="2A180827">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资格文件</w:t>
      </w:r>
    </w:p>
    <w:p w14:paraId="70B85A1C">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（1-1）法定代表人声明书</w:t>
      </w:r>
    </w:p>
    <w:p w14:paraId="730CA386">
      <w:pPr>
        <w:spacing w:line="400" w:lineRule="exact"/>
        <w:rPr>
          <w:rFonts w:hint="eastAsia" w:ascii="宋体" w:hAnsi="宋体" w:cs="宋体"/>
          <w:color w:val="auto"/>
          <w:highlight w:val="none"/>
        </w:rPr>
      </w:pPr>
    </w:p>
    <w:p w14:paraId="5737F6C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温州交运集团汽车服务有限公司：</w:t>
      </w:r>
    </w:p>
    <w:p w14:paraId="7274032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浙江恒杰工程管理有限公司</w:t>
      </w:r>
      <w:r>
        <w:rPr>
          <w:rFonts w:hint="eastAsia" w:ascii="宋体" w:hAnsi="宋体" w:cs="宋体"/>
          <w:color w:val="auto"/>
          <w:sz w:val="22"/>
          <w:szCs w:val="22"/>
          <w:highlight w:val="none"/>
        </w:rPr>
        <w:t>：</w:t>
      </w:r>
    </w:p>
    <w:p w14:paraId="64C89AFD">
      <w:pPr>
        <w:spacing w:line="460" w:lineRule="exact"/>
        <w:rPr>
          <w:rFonts w:hint="eastAsia" w:ascii="宋体" w:hAnsi="宋体" w:cs="宋体"/>
          <w:color w:val="auto"/>
          <w:sz w:val="22"/>
          <w:szCs w:val="22"/>
          <w:highlight w:val="none"/>
          <w:u w:val="single"/>
        </w:rPr>
      </w:pPr>
    </w:p>
    <w:p w14:paraId="7756A795">
      <w:pPr>
        <w:spacing w:line="4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本人</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为</w:t>
      </w:r>
      <w:r>
        <w:rPr>
          <w:rFonts w:hint="eastAsia" w:ascii="宋体" w:hAnsi="宋体" w:cs="宋体"/>
          <w:color w:val="auto"/>
          <w:sz w:val="22"/>
          <w:szCs w:val="22"/>
          <w:highlight w:val="none"/>
          <w:u w:val="single"/>
        </w:rPr>
        <w:t>（投标人全称）</w:t>
      </w:r>
      <w:r>
        <w:rPr>
          <w:rFonts w:hint="eastAsia" w:ascii="宋体" w:hAnsi="宋体" w:cs="宋体"/>
          <w:color w:val="auto"/>
          <w:sz w:val="22"/>
          <w:szCs w:val="22"/>
          <w:highlight w:val="none"/>
        </w:rPr>
        <w:t>的法定代表人。我公司参加贵单位组织的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的采购活动，由我本人全权代表我方处理采购活动中的一切事宜。联系方式如下：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14:paraId="57DEC436">
      <w:pPr>
        <w:spacing w:line="400" w:lineRule="exact"/>
        <w:rPr>
          <w:rFonts w:hint="eastAsia" w:ascii="宋体" w:hAnsi="宋体" w:cs="宋体"/>
          <w:color w:val="auto"/>
          <w:highlight w:val="none"/>
        </w:rPr>
      </w:pPr>
    </w:p>
    <w:p w14:paraId="2593211D">
      <w:pPr>
        <w:spacing w:line="400" w:lineRule="exact"/>
        <w:rPr>
          <w:rFonts w:hint="eastAsia" w:ascii="宋体" w:hAnsi="宋体" w:cs="宋体"/>
          <w:color w:val="auto"/>
          <w:highlight w:val="none"/>
        </w:rPr>
      </w:pPr>
    </w:p>
    <w:p w14:paraId="23518CDD">
      <w:pPr>
        <w:spacing w:line="400" w:lineRule="exact"/>
        <w:rPr>
          <w:rFonts w:hint="eastAsia" w:ascii="宋体" w:hAnsi="宋体" w:cs="宋体"/>
          <w:color w:val="auto"/>
          <w:highlight w:val="none"/>
        </w:rPr>
      </w:pPr>
    </w:p>
    <w:p w14:paraId="131C8600">
      <w:pPr>
        <w:spacing w:line="460" w:lineRule="exact"/>
        <w:ind w:firstLine="3971" w:firstLineChars="1805"/>
        <w:rPr>
          <w:rFonts w:hint="eastAsia" w:ascii="宋体" w:hAnsi="宋体" w:cs="宋体"/>
          <w:color w:val="auto"/>
          <w:sz w:val="22"/>
          <w:szCs w:val="22"/>
          <w:highlight w:val="none"/>
        </w:rPr>
      </w:pPr>
    </w:p>
    <w:p w14:paraId="5029E4F8">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p>
    <w:p w14:paraId="5AD320E6">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0B8B8534">
      <w:pPr>
        <w:spacing w:line="460" w:lineRule="exact"/>
        <w:rPr>
          <w:rFonts w:hint="eastAsia" w:ascii="宋体" w:hAnsi="宋体" w:cs="宋体"/>
          <w:color w:val="auto"/>
          <w:sz w:val="22"/>
          <w:szCs w:val="22"/>
          <w:highlight w:val="none"/>
        </w:rPr>
      </w:pPr>
    </w:p>
    <w:p w14:paraId="7F7C38A4">
      <w:pPr>
        <w:widowControl/>
        <w:jc w:val="left"/>
        <w:rPr>
          <w:rFonts w:hint="eastAsia" w:ascii="宋体" w:hAnsi="宋体" w:cs="宋体"/>
          <w:color w:val="auto"/>
          <w:szCs w:val="21"/>
          <w:highlight w:val="none"/>
        </w:rPr>
      </w:pPr>
    </w:p>
    <w:p w14:paraId="384C6C11">
      <w:pPr>
        <w:widowControl/>
        <w:jc w:val="left"/>
        <w:rPr>
          <w:rFonts w:hint="eastAsia" w:ascii="宋体" w:hAnsi="宋体" w:cs="宋体"/>
          <w:color w:val="auto"/>
          <w:szCs w:val="21"/>
          <w:highlight w:val="none"/>
        </w:rPr>
      </w:pPr>
    </w:p>
    <w:p w14:paraId="196FD11F">
      <w:pPr>
        <w:widowControl/>
        <w:jc w:val="left"/>
        <w:rPr>
          <w:rFonts w:hint="eastAsia" w:ascii="宋体" w:hAnsi="宋体" w:cs="宋体"/>
          <w:color w:val="auto"/>
          <w:szCs w:val="21"/>
          <w:highlight w:val="none"/>
        </w:rPr>
      </w:pPr>
      <w:r>
        <w:rPr>
          <w:rFonts w:hint="eastAsia" w:ascii="宋体" w:hAnsi="宋体" w:cs="宋体"/>
          <w:b/>
          <w:color w:val="auto"/>
          <w:sz w:val="22"/>
          <w:szCs w:val="22"/>
          <w:highlight w:val="none"/>
        </w:rPr>
        <w:t>附：法定代表人身份证正反面复印件</w:t>
      </w:r>
      <w:r>
        <w:rPr>
          <w:rFonts w:hint="eastAsia" w:ascii="宋体" w:hAnsi="宋体" w:cs="宋体"/>
          <w:color w:val="auto"/>
          <w:szCs w:val="21"/>
          <w:highlight w:val="none"/>
        </w:rPr>
        <w:br w:type="page"/>
      </w:r>
    </w:p>
    <w:p w14:paraId="5F2E3250">
      <w:pPr>
        <w:spacing w:line="380" w:lineRule="exact"/>
        <w:jc w:val="center"/>
        <w:rPr>
          <w:rFonts w:hint="eastAsia" w:ascii="宋体" w:hAnsi="宋体" w:cs="宋体"/>
          <w:b/>
          <w:color w:val="auto"/>
          <w:sz w:val="22"/>
          <w:szCs w:val="22"/>
          <w:highlight w:val="none"/>
        </w:rPr>
      </w:pPr>
    </w:p>
    <w:p w14:paraId="55DB6485">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（1-2）法定代表人授权书</w:t>
      </w:r>
    </w:p>
    <w:p w14:paraId="20FFF6B4">
      <w:pPr>
        <w:spacing w:line="400" w:lineRule="exact"/>
        <w:jc w:val="center"/>
        <w:rPr>
          <w:rFonts w:hint="eastAsia" w:ascii="宋体" w:hAnsi="宋体" w:cs="宋体"/>
          <w:b/>
          <w:bCs/>
          <w:color w:val="auto"/>
          <w:sz w:val="28"/>
          <w:szCs w:val="28"/>
          <w:highlight w:val="none"/>
        </w:rPr>
      </w:pPr>
    </w:p>
    <w:p w14:paraId="6E4A27E9">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温州交运集团汽车服务有限公司：</w:t>
      </w:r>
    </w:p>
    <w:p w14:paraId="0EAFB18B">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浙江恒杰工程管理有限公司</w:t>
      </w:r>
      <w:r>
        <w:rPr>
          <w:rFonts w:hint="eastAsia" w:ascii="宋体" w:hAnsi="宋体" w:cs="宋体"/>
          <w:color w:val="auto"/>
          <w:sz w:val="22"/>
          <w:szCs w:val="22"/>
          <w:highlight w:val="none"/>
        </w:rPr>
        <w:t>：</w:t>
      </w:r>
    </w:p>
    <w:p w14:paraId="613A6D0E">
      <w:pPr>
        <w:spacing w:line="460" w:lineRule="exact"/>
        <w:rPr>
          <w:rFonts w:hint="eastAsia" w:ascii="宋体" w:hAnsi="宋体" w:cs="宋体"/>
          <w:color w:val="auto"/>
          <w:sz w:val="22"/>
          <w:szCs w:val="22"/>
          <w:highlight w:val="none"/>
          <w:u w:val="single"/>
        </w:rPr>
      </w:pPr>
    </w:p>
    <w:p w14:paraId="02B68DAB">
      <w:pPr>
        <w:spacing w:line="4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（投标人全称）</w:t>
      </w:r>
      <w:r>
        <w:rPr>
          <w:rFonts w:hint="eastAsia" w:ascii="宋体" w:hAnsi="宋体" w:cs="宋体"/>
          <w:color w:val="auto"/>
          <w:sz w:val="22"/>
          <w:szCs w:val="22"/>
          <w:highlight w:val="none"/>
        </w:rPr>
        <w:t xml:space="preserve">法定代表人 </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 xml:space="preserve"> 授权</w:t>
      </w:r>
      <w:r>
        <w:rPr>
          <w:rFonts w:hint="eastAsia" w:ascii="宋体" w:hAnsi="宋体" w:cs="宋体"/>
          <w:color w:val="auto"/>
          <w:sz w:val="22"/>
          <w:szCs w:val="22"/>
          <w:highlight w:val="none"/>
          <w:u w:val="single"/>
        </w:rPr>
        <w:t>（全权代表姓名）</w:t>
      </w:r>
      <w:r>
        <w:rPr>
          <w:rFonts w:hint="eastAsia" w:ascii="宋体" w:hAnsi="宋体" w:cs="宋体"/>
          <w:color w:val="auto"/>
          <w:sz w:val="22"/>
          <w:szCs w:val="22"/>
          <w:highlight w:val="none"/>
        </w:rPr>
        <w:t>为本项目全权代表，参加贵单位组织的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14:paraId="351BEEA7">
      <w:pPr>
        <w:spacing w:line="460" w:lineRule="exact"/>
        <w:ind w:firstLine="220" w:firstLineChars="100"/>
        <w:rPr>
          <w:rFonts w:hint="eastAsia" w:ascii="宋体" w:hAnsi="宋体" w:cs="宋体"/>
          <w:color w:val="auto"/>
          <w:sz w:val="22"/>
          <w:szCs w:val="22"/>
          <w:highlight w:val="none"/>
        </w:rPr>
      </w:pPr>
    </w:p>
    <w:p w14:paraId="1BD9C912">
      <w:pPr>
        <w:spacing w:line="460" w:lineRule="exact"/>
        <w:ind w:firstLine="550" w:firstLineChars="250"/>
        <w:rPr>
          <w:rFonts w:hint="eastAsia" w:ascii="宋体" w:hAnsi="宋体" w:cs="宋体"/>
          <w:color w:val="auto"/>
          <w:sz w:val="22"/>
          <w:szCs w:val="22"/>
          <w:highlight w:val="none"/>
        </w:rPr>
      </w:pPr>
    </w:p>
    <w:p w14:paraId="02A57B42">
      <w:pPr>
        <w:spacing w:line="460" w:lineRule="exact"/>
        <w:ind w:firstLine="2955"/>
        <w:rPr>
          <w:rFonts w:hint="eastAsia" w:ascii="宋体" w:hAnsi="宋体" w:cs="宋体"/>
          <w:color w:val="auto"/>
          <w:sz w:val="22"/>
          <w:szCs w:val="22"/>
          <w:highlight w:val="none"/>
        </w:rPr>
      </w:pPr>
    </w:p>
    <w:p w14:paraId="53A18EFE">
      <w:pPr>
        <w:spacing w:line="460" w:lineRule="exact"/>
        <w:ind w:firstLine="2955"/>
        <w:rPr>
          <w:rFonts w:hint="eastAsia" w:ascii="宋体" w:hAnsi="宋体" w:cs="宋体"/>
          <w:color w:val="auto"/>
          <w:sz w:val="22"/>
          <w:szCs w:val="22"/>
          <w:highlight w:val="none"/>
        </w:rPr>
      </w:pPr>
    </w:p>
    <w:p w14:paraId="52601A97">
      <w:pPr>
        <w:spacing w:line="460" w:lineRule="exact"/>
        <w:ind w:firstLine="3971" w:firstLineChars="1805"/>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 (签字或盖章)：</w:t>
      </w:r>
    </w:p>
    <w:p w14:paraId="104BE566">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p>
    <w:p w14:paraId="63B1FAF0">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ED9A072">
      <w:pPr>
        <w:spacing w:line="460" w:lineRule="exact"/>
        <w:rPr>
          <w:rFonts w:hint="eastAsia" w:ascii="宋体" w:hAnsi="宋体" w:cs="宋体"/>
          <w:color w:val="auto"/>
          <w:sz w:val="22"/>
          <w:szCs w:val="22"/>
          <w:highlight w:val="none"/>
        </w:rPr>
      </w:pPr>
    </w:p>
    <w:p w14:paraId="23C30598">
      <w:pPr>
        <w:spacing w:line="460" w:lineRule="exact"/>
        <w:rPr>
          <w:rFonts w:hint="eastAsia" w:ascii="宋体" w:hAnsi="宋体" w:cs="宋体"/>
          <w:color w:val="auto"/>
          <w:sz w:val="22"/>
          <w:szCs w:val="22"/>
          <w:highlight w:val="none"/>
        </w:rPr>
      </w:pPr>
    </w:p>
    <w:p w14:paraId="3BC13A3B">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附：法定代表人及授权代表的身份证正反面复印件</w:t>
      </w:r>
    </w:p>
    <w:p w14:paraId="1AEF0369">
      <w:pPr>
        <w:widowControl/>
        <w:jc w:val="left"/>
        <w:rPr>
          <w:rFonts w:hint="eastAsia" w:ascii="宋体" w:hAnsi="宋体" w:cs="宋体"/>
          <w:b/>
          <w:bCs/>
          <w:color w:val="auto"/>
          <w:highlight w:val="none"/>
        </w:rPr>
      </w:pPr>
    </w:p>
    <w:p w14:paraId="004EFF1E">
      <w:pPr>
        <w:widowControl/>
        <w:jc w:val="left"/>
        <w:rPr>
          <w:rFonts w:hint="eastAsia" w:ascii="宋体" w:hAnsi="宋体" w:cs="宋体"/>
          <w:b/>
          <w:bCs/>
          <w:color w:val="auto"/>
          <w:highlight w:val="none"/>
        </w:rPr>
      </w:pPr>
    </w:p>
    <w:p w14:paraId="2A837B38">
      <w:pPr>
        <w:widowControl/>
        <w:jc w:val="left"/>
        <w:rPr>
          <w:rFonts w:hint="eastAsia" w:ascii="宋体" w:hAnsi="宋体" w:cs="宋体"/>
          <w:b/>
          <w:bCs/>
          <w:color w:val="auto"/>
          <w:highlight w:val="none"/>
        </w:rPr>
      </w:pPr>
    </w:p>
    <w:p w14:paraId="0BDE0DFC">
      <w:pPr>
        <w:widowControl/>
        <w:jc w:val="left"/>
        <w:rPr>
          <w:rFonts w:hint="eastAsia" w:ascii="宋体" w:hAnsi="宋体" w:cs="宋体"/>
          <w:b/>
          <w:bCs/>
          <w:color w:val="auto"/>
          <w:highlight w:val="none"/>
        </w:rPr>
      </w:pPr>
    </w:p>
    <w:p w14:paraId="0FEE5393">
      <w:pPr>
        <w:widowControl/>
        <w:jc w:val="left"/>
        <w:rPr>
          <w:rFonts w:hint="eastAsia" w:ascii="宋体" w:hAnsi="宋体" w:cs="宋体"/>
          <w:b/>
          <w:bCs/>
          <w:color w:val="auto"/>
          <w:highlight w:val="none"/>
        </w:rPr>
      </w:pPr>
    </w:p>
    <w:p w14:paraId="30C8C283">
      <w:pPr>
        <w:widowControl/>
        <w:jc w:val="left"/>
        <w:rPr>
          <w:rFonts w:hint="eastAsia" w:ascii="宋体" w:hAnsi="宋体" w:cs="宋体"/>
          <w:b/>
          <w:bCs/>
          <w:color w:val="auto"/>
          <w:highlight w:val="none"/>
        </w:rPr>
      </w:pPr>
    </w:p>
    <w:p w14:paraId="08D5964B">
      <w:pPr>
        <w:widowControl/>
        <w:jc w:val="left"/>
        <w:rPr>
          <w:rFonts w:hint="eastAsia" w:ascii="宋体" w:hAnsi="宋体" w:cs="宋体"/>
          <w:b/>
          <w:bCs/>
          <w:color w:val="auto"/>
          <w:highlight w:val="none"/>
        </w:rPr>
      </w:pPr>
    </w:p>
    <w:p w14:paraId="06722610">
      <w:pPr>
        <w:widowControl/>
        <w:jc w:val="left"/>
        <w:rPr>
          <w:rFonts w:hint="eastAsia" w:ascii="宋体" w:hAnsi="宋体" w:cs="宋体"/>
          <w:b/>
          <w:bCs/>
          <w:color w:val="auto"/>
          <w:highlight w:val="none"/>
        </w:rPr>
      </w:pPr>
    </w:p>
    <w:p w14:paraId="55CCBA23">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说明：</w:t>
      </w:r>
    </w:p>
    <w:p w14:paraId="478DC1EE">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1、若投标人代表为法定代表人，应提供声明书（1-1）并提交法定代表人身份证正反面复印件；</w:t>
      </w:r>
    </w:p>
    <w:p w14:paraId="30CA7D45">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2、若投标人代表为法定代表人授权的委托代理人，应提供授权书（1-2），并附法定代表人及授权代表的身份证正反面复印件。</w:t>
      </w:r>
    </w:p>
    <w:p w14:paraId="636FE34B">
      <w:pPr>
        <w:spacing w:line="460" w:lineRule="exact"/>
        <w:rPr>
          <w:rFonts w:hint="eastAsia" w:ascii="宋体" w:hAnsi="宋体" w:cs="宋体"/>
          <w:color w:val="auto"/>
          <w:sz w:val="22"/>
          <w:szCs w:val="22"/>
          <w:highlight w:val="none"/>
        </w:rPr>
      </w:pPr>
    </w:p>
    <w:p w14:paraId="71C014B7">
      <w:pPr>
        <w:spacing w:line="38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br w:type="page"/>
      </w:r>
    </w:p>
    <w:p w14:paraId="7146D4C9">
      <w:pPr>
        <w:spacing w:line="380" w:lineRule="exact"/>
        <w:jc w:val="center"/>
        <w:rPr>
          <w:rFonts w:hint="eastAsia" w:ascii="宋体" w:hAnsi="宋体" w:cs="宋体"/>
          <w:b/>
          <w:bCs/>
          <w:color w:val="auto"/>
          <w:sz w:val="32"/>
          <w:highlight w:val="none"/>
        </w:rPr>
      </w:pPr>
    </w:p>
    <w:p w14:paraId="206AA950">
      <w:pPr>
        <w:widowControl/>
        <w:adjustRightInd w:val="0"/>
        <w:snapToGri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（2）投标投标人参与国企采购活动投标资格声明函</w:t>
      </w:r>
    </w:p>
    <w:p w14:paraId="6214DC4B">
      <w:pPr>
        <w:widowControl/>
        <w:adjustRightInd w:val="0"/>
        <w:snapToGrid w:val="0"/>
        <w:spacing w:line="360" w:lineRule="auto"/>
        <w:jc w:val="left"/>
        <w:rPr>
          <w:rFonts w:hint="eastAsia" w:ascii="宋体" w:cs="新宋体"/>
          <w:color w:val="auto"/>
          <w:kern w:val="0"/>
          <w:sz w:val="22"/>
          <w:szCs w:val="22"/>
          <w:highlight w:val="none"/>
        </w:rPr>
      </w:pPr>
    </w:p>
    <w:p w14:paraId="75BBF7F4">
      <w:pPr>
        <w:widowControl/>
        <w:adjustRightInd w:val="0"/>
        <w:snapToGrid w:val="0"/>
        <w:spacing w:line="360" w:lineRule="auto"/>
        <w:jc w:val="left"/>
        <w:rPr>
          <w:rFonts w:hint="eastAsia" w:ascii="宋体" w:cs="宋体"/>
          <w:color w:val="auto"/>
          <w:kern w:val="0"/>
          <w:sz w:val="22"/>
          <w:szCs w:val="22"/>
          <w:highlight w:val="none"/>
        </w:rPr>
      </w:pPr>
      <w:r>
        <w:rPr>
          <w:rFonts w:hint="eastAsia" w:ascii="宋体" w:hAnsi="宋体" w:cs="宋体"/>
          <w:color w:val="auto"/>
          <w:sz w:val="22"/>
          <w:szCs w:val="22"/>
          <w:highlight w:val="none"/>
        </w:rPr>
        <w:t>温州交运集团汽车服务有限公司</w:t>
      </w:r>
      <w:r>
        <w:rPr>
          <w:rFonts w:hint="eastAsia" w:ascii="宋体" w:cs="宋体"/>
          <w:color w:val="auto"/>
          <w:kern w:val="0"/>
          <w:sz w:val="22"/>
          <w:szCs w:val="22"/>
          <w:highlight w:val="none"/>
        </w:rPr>
        <w:t>：</w:t>
      </w:r>
    </w:p>
    <w:p w14:paraId="3D7F3831">
      <w:pPr>
        <w:widowControl/>
        <w:adjustRightInd w:val="0"/>
        <w:snapToGrid w:val="0"/>
        <w:spacing w:line="360" w:lineRule="auto"/>
        <w:jc w:val="left"/>
        <w:rPr>
          <w:rFonts w:hint="eastAsia" w:ascii="宋体" w:cs="宋体"/>
          <w:color w:val="auto"/>
          <w:kern w:val="0"/>
          <w:sz w:val="22"/>
          <w:szCs w:val="22"/>
          <w:highlight w:val="none"/>
        </w:rPr>
      </w:pPr>
      <w:r>
        <w:rPr>
          <w:rFonts w:hint="eastAsia" w:ascii="宋体" w:cs="宋体"/>
          <w:color w:val="auto"/>
          <w:kern w:val="0"/>
          <w:sz w:val="22"/>
          <w:szCs w:val="22"/>
          <w:highlight w:val="none"/>
          <w:lang w:eastAsia="zh-CN"/>
        </w:rPr>
        <w:t>浙江恒杰工程管理有限公司</w:t>
      </w:r>
      <w:r>
        <w:rPr>
          <w:rFonts w:hint="eastAsia" w:ascii="宋体" w:cs="宋体"/>
          <w:color w:val="auto"/>
          <w:kern w:val="0"/>
          <w:sz w:val="22"/>
          <w:szCs w:val="22"/>
          <w:highlight w:val="none"/>
        </w:rPr>
        <w:t>：</w:t>
      </w:r>
    </w:p>
    <w:p w14:paraId="0B02F398">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我单位参与</w:t>
      </w:r>
      <w:r>
        <w:rPr>
          <w:rFonts w:hint="eastAsia" w:ascii="宋体"/>
          <w:color w:val="auto"/>
          <w:sz w:val="22"/>
          <w:szCs w:val="22"/>
          <w:highlight w:val="none"/>
          <w:u w:val="single"/>
        </w:rPr>
        <w:t xml:space="preserve">（项目名称） </w:t>
      </w:r>
      <w:r>
        <w:rPr>
          <w:rFonts w:hint="eastAsia" w:ascii="宋体" w:cs="宋体"/>
          <w:color w:val="auto"/>
          <w:kern w:val="0"/>
          <w:sz w:val="22"/>
          <w:szCs w:val="22"/>
          <w:highlight w:val="none"/>
        </w:rPr>
        <w:t>项目的采购活动，现声明如下：</w:t>
      </w:r>
    </w:p>
    <w:p w14:paraId="1EDF273B">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1、我单位具有独立承担民事责任的能力。</w:t>
      </w:r>
    </w:p>
    <w:p w14:paraId="787C5489">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2、我单位具有良好的商业信誉和健全的财务会计制度。</w:t>
      </w:r>
    </w:p>
    <w:p w14:paraId="5FEE28CE">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3、我单位具有依法缴纳税收和社会保障资金的良好记录。</w:t>
      </w:r>
    </w:p>
    <w:p w14:paraId="12B0B1EC">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4、我单位具有履行本项目国企采购合同所必需的设备和专业技术能力。</w:t>
      </w:r>
    </w:p>
    <w:p w14:paraId="46C354D2">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5、我单位未被列入失信被执行人名单、重大税收违法案件当事人名单、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采购活动的期限未满情形）。</w:t>
      </w:r>
    </w:p>
    <w:p w14:paraId="6585481E">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6、我单位未与单位负责人为同一人或者存在直接控股、管理关系的其他投标人，一起参加本项目的国企采购活动。</w:t>
      </w:r>
    </w:p>
    <w:p w14:paraId="67EAD866">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7、我单位符合本项目特定资格条件：</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 xml:space="preserve"> 的要求，并在投标文件中提供了相应的证明材料（采购文件没有要求特定资格条件的，本条款空格处可以空白）</w:t>
      </w:r>
    </w:p>
    <w:p w14:paraId="4A530999">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以上事项如有虚假，采购人可取消我方任何资格（投标/中标/签订合同），我方对此无任何异议。</w:t>
      </w:r>
    </w:p>
    <w:p w14:paraId="6C10C953">
      <w:pPr>
        <w:widowControl/>
        <w:adjustRightInd w:val="0"/>
        <w:snapToGrid w:val="0"/>
        <w:spacing w:line="360" w:lineRule="auto"/>
        <w:ind w:firstLine="440" w:firstLineChars="200"/>
        <w:jc w:val="left"/>
        <w:rPr>
          <w:rFonts w:hint="eastAsia" w:ascii="宋体" w:cs="宋体"/>
          <w:color w:val="auto"/>
          <w:kern w:val="0"/>
          <w:sz w:val="22"/>
          <w:szCs w:val="22"/>
          <w:highlight w:val="none"/>
        </w:rPr>
      </w:pPr>
    </w:p>
    <w:p w14:paraId="513A9C02">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特此承诺！</w:t>
      </w:r>
    </w:p>
    <w:p w14:paraId="02737C08">
      <w:pPr>
        <w:widowControl/>
        <w:adjustRightInd w:val="0"/>
        <w:snapToGrid w:val="0"/>
        <w:spacing w:line="360" w:lineRule="auto"/>
        <w:ind w:firstLine="440" w:firstLineChars="200"/>
        <w:jc w:val="left"/>
        <w:rPr>
          <w:rFonts w:hint="eastAsia" w:ascii="宋体" w:cs="新宋体"/>
          <w:color w:val="auto"/>
          <w:kern w:val="0"/>
          <w:sz w:val="22"/>
          <w:szCs w:val="22"/>
          <w:highlight w:val="none"/>
        </w:rPr>
      </w:pPr>
    </w:p>
    <w:p w14:paraId="0CFB041B">
      <w:pPr>
        <w:pStyle w:val="16"/>
        <w:rPr>
          <w:color w:val="auto"/>
          <w:highlight w:val="none"/>
        </w:rPr>
      </w:pPr>
    </w:p>
    <w:p w14:paraId="5EC5306A">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投标人名称（盖章） ：</w:t>
      </w:r>
    </w:p>
    <w:p w14:paraId="31087476">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法定代表人（负责人）或其授权代表（签字或盖章）：</w:t>
      </w:r>
    </w:p>
    <w:p w14:paraId="7BB91881">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日期：     年  月  日</w:t>
      </w:r>
    </w:p>
    <w:p w14:paraId="6709FE93">
      <w:pPr>
        <w:pStyle w:val="16"/>
        <w:rPr>
          <w:color w:val="auto"/>
          <w:highlight w:val="none"/>
        </w:rPr>
      </w:pPr>
    </w:p>
    <w:p w14:paraId="6C1E1253">
      <w:pPr>
        <w:widowControl/>
        <w:adjustRightInd w:val="0"/>
        <w:snapToGrid w:val="0"/>
        <w:spacing w:line="360" w:lineRule="auto"/>
        <w:jc w:val="left"/>
        <w:rPr>
          <w:rFonts w:hint="eastAsia" w:ascii="宋体"/>
          <w:color w:val="auto"/>
          <w:sz w:val="22"/>
          <w:szCs w:val="22"/>
          <w:highlight w:val="none"/>
        </w:rPr>
      </w:pPr>
      <w:r>
        <w:rPr>
          <w:rFonts w:hint="eastAsia" w:ascii="宋体" w:cs="新宋体"/>
          <w:color w:val="auto"/>
          <w:kern w:val="0"/>
          <w:sz w:val="22"/>
          <w:szCs w:val="22"/>
          <w:highlight w:val="none"/>
        </w:rPr>
        <w:br w:type="page"/>
      </w:r>
    </w:p>
    <w:p w14:paraId="5E1CD867">
      <w:pPr>
        <w:pStyle w:val="20"/>
        <w:snapToGrid w:val="0"/>
        <w:spacing w:line="324" w:lineRule="auto"/>
        <w:jc w:val="center"/>
        <w:rPr>
          <w:b/>
          <w:bCs/>
          <w:color w:val="auto"/>
          <w:sz w:val="22"/>
          <w:szCs w:val="22"/>
          <w:highlight w:val="none"/>
        </w:rPr>
      </w:pPr>
      <w:r>
        <w:rPr>
          <w:rFonts w:hint="eastAsia"/>
          <w:b/>
          <w:bCs/>
          <w:color w:val="auto"/>
          <w:sz w:val="22"/>
          <w:szCs w:val="22"/>
          <w:highlight w:val="none"/>
        </w:rPr>
        <w:t>（3）诚信投标承诺书</w:t>
      </w:r>
    </w:p>
    <w:p w14:paraId="75CAE26B">
      <w:pPr>
        <w:ind w:right="-153" w:rightChars="-73"/>
        <w:jc w:val="center"/>
        <w:rPr>
          <w:rFonts w:hint="eastAsia" w:ascii="宋体"/>
          <w:color w:val="auto"/>
          <w:sz w:val="22"/>
          <w:szCs w:val="22"/>
          <w:highlight w:val="none"/>
        </w:rPr>
      </w:pPr>
    </w:p>
    <w:p w14:paraId="550910A7">
      <w:pPr>
        <w:spacing w:line="520" w:lineRule="exact"/>
        <w:ind w:right="-153" w:rightChars="-73"/>
        <w:rPr>
          <w:rFonts w:hint="eastAsia" w:ascii="宋体"/>
          <w:color w:val="auto"/>
          <w:sz w:val="22"/>
          <w:szCs w:val="22"/>
          <w:highlight w:val="none"/>
        </w:rPr>
      </w:pPr>
      <w:r>
        <w:rPr>
          <w:rFonts w:hint="eastAsia" w:ascii="宋体"/>
          <w:color w:val="auto"/>
          <w:sz w:val="22"/>
          <w:szCs w:val="22"/>
          <w:highlight w:val="none"/>
        </w:rPr>
        <w:t>本企业郑重承诺：</w:t>
      </w:r>
    </w:p>
    <w:p w14:paraId="0E91F672">
      <w:pPr>
        <w:spacing w:line="500" w:lineRule="exact"/>
        <w:ind w:firstLine="440" w:firstLineChars="200"/>
        <w:rPr>
          <w:rFonts w:hint="eastAsia" w:ascii="宋体"/>
          <w:color w:val="auto"/>
          <w:sz w:val="22"/>
          <w:szCs w:val="22"/>
          <w:highlight w:val="none"/>
        </w:rPr>
      </w:pPr>
      <w:r>
        <w:rPr>
          <w:rFonts w:hint="eastAsia" w:ascii="宋体"/>
          <w:color w:val="auto"/>
          <w:sz w:val="22"/>
          <w:szCs w:val="22"/>
          <w:highlight w:val="none"/>
        </w:rPr>
        <w:t>为了积极配合贵单位组织的</w:t>
      </w:r>
      <w:r>
        <w:rPr>
          <w:rFonts w:hint="eastAsia" w:ascii="宋体"/>
          <w:color w:val="auto"/>
          <w:sz w:val="22"/>
          <w:szCs w:val="22"/>
          <w:highlight w:val="none"/>
          <w:u w:val="single"/>
        </w:rPr>
        <w:t xml:space="preserve"> （项目名称） 采购</w:t>
      </w:r>
      <w:r>
        <w:rPr>
          <w:rFonts w:hint="eastAsia" w:ascii="宋体"/>
          <w:color w:val="auto"/>
          <w:sz w:val="22"/>
          <w:szCs w:val="22"/>
          <w:highlight w:val="none"/>
        </w:rPr>
        <w:t>工作，有效遏制不公平竞争和违规违纪问题的发生，确保采购工作的公平、公正、公开，我们保证认真贯彻</w:t>
      </w:r>
      <w:r>
        <w:rPr>
          <w:rFonts w:hint="eastAsia" w:ascii="宋体" w:cs="Century Gothic"/>
          <w:color w:val="auto"/>
          <w:sz w:val="22"/>
          <w:szCs w:val="22"/>
          <w:highlight w:val="none"/>
        </w:rPr>
        <w:t>《温州市市属国有企业采购管理办法》等法律及有关法规</w:t>
      </w:r>
      <w:r>
        <w:rPr>
          <w:rFonts w:hint="eastAsia" w:ascii="宋体"/>
          <w:color w:val="auto"/>
          <w:sz w:val="22"/>
          <w:szCs w:val="22"/>
          <w:highlight w:val="none"/>
        </w:rPr>
        <w:t>相关规定以及有关廉洁要求，特承诺如下事项：</w:t>
      </w:r>
    </w:p>
    <w:p w14:paraId="72E05014">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自觉遵守国家法律法规及有关廉政建设制度。</w:t>
      </w:r>
    </w:p>
    <w:p w14:paraId="25FBBF18">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主动了解采购人招投标纪律，积极配合采购人执行招投标廉政建设的有关规定。</w:t>
      </w:r>
    </w:p>
    <w:p w14:paraId="2B10F5ED">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不使用不正当手段妨碍、排挤其它投标人或串通投标。</w:t>
      </w:r>
    </w:p>
    <w:p w14:paraId="00DB9892">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按照本采购文件规定的方式进行投标，不隐瞒本单位投标资质的真实情况，投标资质符合规定。</w:t>
      </w:r>
    </w:p>
    <w:p w14:paraId="7010A7A7">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38D322E5">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不向采购人及个人购置或提供通讯工具、交通工具和高档办公用品等。</w:t>
      </w:r>
    </w:p>
    <w:p w14:paraId="4A2F1A93">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不向采购人涉及采购的人员的配偶、子女分包此次采购项目。</w:t>
      </w:r>
    </w:p>
    <w:p w14:paraId="6C8B030E">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不向采购人及个人支付好处费、介绍费。</w:t>
      </w:r>
    </w:p>
    <w:p w14:paraId="55A401CE">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一旦发现相关人员在采购过程中的索要财物等不廉洁行为，坚决予以抵制，并及时向有关纪检监察部门举报。</w:t>
      </w:r>
    </w:p>
    <w:p w14:paraId="7F40B8C1">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我们若违反上述承诺，愿接受取消投标人资格及其他任何形式的处理。</w:t>
      </w:r>
    </w:p>
    <w:p w14:paraId="64E2A4BE">
      <w:pPr>
        <w:snapToGrid w:val="0"/>
        <w:spacing w:line="500" w:lineRule="exact"/>
        <w:ind w:firstLine="385" w:firstLineChars="175"/>
        <w:rPr>
          <w:rFonts w:hint="eastAsia" w:ascii="宋体"/>
          <w:color w:val="auto"/>
          <w:sz w:val="22"/>
          <w:szCs w:val="22"/>
          <w:highlight w:val="none"/>
        </w:rPr>
      </w:pPr>
    </w:p>
    <w:p w14:paraId="772F4B70">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投标人名称（盖章） ：</w:t>
      </w:r>
    </w:p>
    <w:p w14:paraId="00910213">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法定代表人（负责人）或其授权代表（签字或盖章）：</w:t>
      </w:r>
    </w:p>
    <w:p w14:paraId="0DB2B783">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日期：     年  月  日</w:t>
      </w:r>
    </w:p>
    <w:p w14:paraId="336F48FB">
      <w:pPr>
        <w:pStyle w:val="17"/>
        <w:ind w:firstLine="210"/>
        <w:rPr>
          <w:rFonts w:hint="eastAsia" w:ascii="宋体" w:hAnsi="宋体" w:cs="宋体"/>
          <w:color w:val="auto"/>
          <w:highlight w:val="none"/>
        </w:rPr>
      </w:pPr>
    </w:p>
    <w:p w14:paraId="44DF5FE1">
      <w:pPr>
        <w:spacing w:line="460" w:lineRule="exact"/>
        <w:rPr>
          <w:rFonts w:hint="eastAsia" w:ascii="宋体" w:hAnsi="宋体" w:cs="宋体"/>
          <w:color w:val="auto"/>
          <w:highlight w:val="none"/>
        </w:rPr>
      </w:pPr>
    </w:p>
    <w:p w14:paraId="77867BDD">
      <w:pPr>
        <w:spacing w:line="460" w:lineRule="exact"/>
        <w:rPr>
          <w:rFonts w:hint="eastAsia" w:ascii="宋体" w:hAnsi="宋体" w:cs="宋体"/>
          <w:color w:val="auto"/>
          <w:highlight w:val="none"/>
        </w:rPr>
      </w:pPr>
    </w:p>
    <w:p w14:paraId="04E72FA1">
      <w:pPr>
        <w:pStyle w:val="20"/>
        <w:snapToGrid w:val="0"/>
        <w:spacing w:line="324" w:lineRule="auto"/>
        <w:jc w:val="center"/>
        <w:rPr>
          <w:rFonts w:hint="eastAsia" w:hAnsi="宋体" w:cs="宋体"/>
          <w:b/>
          <w:bCs/>
          <w:color w:val="auto"/>
          <w:sz w:val="22"/>
          <w:szCs w:val="22"/>
          <w:highlight w:val="none"/>
        </w:rPr>
      </w:pPr>
      <w:r>
        <w:rPr>
          <w:rFonts w:hint="eastAsia" w:hAnsi="宋体" w:cs="宋体"/>
          <w:color w:val="auto"/>
          <w:highlight w:val="none"/>
        </w:rPr>
        <w:br w:type="page"/>
      </w:r>
    </w:p>
    <w:p w14:paraId="0E8BC57B">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 xml:space="preserve">附件二 </w:t>
      </w:r>
    </w:p>
    <w:p w14:paraId="0A5CFC90">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（1）开标一览表</w:t>
      </w:r>
    </w:p>
    <w:p w14:paraId="45F80894">
      <w:pPr>
        <w:spacing w:line="380" w:lineRule="exact"/>
        <w:jc w:val="center"/>
        <w:rPr>
          <w:rFonts w:ascii="宋体" w:hAnsi="宋体"/>
          <w:b/>
          <w:bCs/>
          <w:color w:val="auto"/>
          <w:sz w:val="28"/>
          <w:highlight w:val="none"/>
        </w:rPr>
      </w:pPr>
    </w:p>
    <w:p w14:paraId="70C83817">
      <w:pPr>
        <w:spacing w:line="380" w:lineRule="exact"/>
        <w:ind w:firstLine="108" w:firstLineChars="4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260"/>
        <w:gridCol w:w="4003"/>
      </w:tblGrid>
      <w:tr w14:paraId="115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21" w:type="dxa"/>
            <w:noWrap w:val="0"/>
            <w:vAlign w:val="center"/>
          </w:tcPr>
          <w:p w14:paraId="2374DD77">
            <w:pPr>
              <w:pStyle w:val="20"/>
              <w:spacing w:line="400" w:lineRule="exact"/>
              <w:jc w:val="center"/>
              <w:rPr>
                <w:rFonts w:hint="eastAsia" w:hAnsi="宋体" w:eastAsia="宋体" w:cs="宋体"/>
                <w:color w:val="auto"/>
                <w:sz w:val="22"/>
                <w:szCs w:val="22"/>
                <w:highlight w:val="none"/>
              </w:rPr>
            </w:pPr>
            <w:r>
              <w:rPr>
                <w:rFonts w:hint="eastAsia" w:hAnsi="宋体" w:eastAsia="宋体" w:cs="宋体"/>
                <w:color w:val="auto"/>
                <w:sz w:val="22"/>
                <w:szCs w:val="22"/>
                <w:highlight w:val="none"/>
              </w:rPr>
              <w:t>序号</w:t>
            </w:r>
          </w:p>
        </w:tc>
        <w:tc>
          <w:tcPr>
            <w:tcW w:w="4260" w:type="dxa"/>
            <w:noWrap w:val="0"/>
            <w:vAlign w:val="center"/>
          </w:tcPr>
          <w:p w14:paraId="066ECCEF">
            <w:pPr>
              <w:pStyle w:val="20"/>
              <w:spacing w:line="400" w:lineRule="exact"/>
              <w:jc w:val="center"/>
              <w:rPr>
                <w:rFonts w:hint="eastAsia" w:hAnsi="宋体" w:eastAsia="宋体" w:cs="宋体"/>
                <w:color w:val="auto"/>
                <w:sz w:val="22"/>
                <w:szCs w:val="22"/>
                <w:highlight w:val="none"/>
              </w:rPr>
            </w:pPr>
            <w:r>
              <w:rPr>
                <w:rFonts w:hint="eastAsia" w:hAnsi="宋体" w:eastAsia="宋体" w:cs="宋体"/>
                <w:color w:val="auto"/>
                <w:sz w:val="22"/>
                <w:szCs w:val="22"/>
                <w:highlight w:val="none"/>
              </w:rPr>
              <w:t>报价内容</w:t>
            </w:r>
          </w:p>
        </w:tc>
        <w:tc>
          <w:tcPr>
            <w:tcW w:w="4003" w:type="dxa"/>
            <w:noWrap w:val="0"/>
            <w:vAlign w:val="center"/>
          </w:tcPr>
          <w:p w14:paraId="4EBA8D9D">
            <w:pPr>
              <w:pStyle w:val="20"/>
              <w:spacing w:line="400" w:lineRule="exact"/>
              <w:jc w:val="center"/>
              <w:rPr>
                <w:rFonts w:hAnsi="宋体" w:eastAsia="宋体" w:cs="宋体"/>
                <w:color w:val="auto"/>
                <w:sz w:val="22"/>
                <w:szCs w:val="22"/>
                <w:highlight w:val="none"/>
              </w:rPr>
            </w:pPr>
            <w:r>
              <w:rPr>
                <w:rFonts w:hint="eastAsia" w:hAnsi="宋体" w:eastAsia="宋体" w:cs="宋体"/>
                <w:color w:val="auto"/>
                <w:sz w:val="22"/>
                <w:szCs w:val="22"/>
                <w:highlight w:val="none"/>
              </w:rPr>
              <w:t>免费质保期</w:t>
            </w:r>
          </w:p>
        </w:tc>
      </w:tr>
      <w:tr w14:paraId="5C41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21" w:type="dxa"/>
            <w:noWrap w:val="0"/>
            <w:vAlign w:val="center"/>
          </w:tcPr>
          <w:p w14:paraId="6863378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260" w:type="dxa"/>
            <w:noWrap w:val="0"/>
            <w:vAlign w:val="center"/>
          </w:tcPr>
          <w:p w14:paraId="3CD9D467">
            <w:pPr>
              <w:spacing w:line="400" w:lineRule="exact"/>
              <w:jc w:val="center"/>
              <w:rPr>
                <w:rFonts w:hint="eastAsia" w:ascii="宋体" w:hAnsi="宋体" w:eastAsia="宋体" w:cs="宋体"/>
                <w:color w:val="auto"/>
                <w:sz w:val="24"/>
                <w:highlight w:val="none"/>
              </w:rPr>
            </w:pPr>
          </w:p>
        </w:tc>
        <w:tc>
          <w:tcPr>
            <w:tcW w:w="4003" w:type="dxa"/>
            <w:noWrap w:val="0"/>
            <w:vAlign w:val="center"/>
          </w:tcPr>
          <w:p w14:paraId="6FD084ED">
            <w:pPr>
              <w:pStyle w:val="20"/>
              <w:spacing w:line="400" w:lineRule="exact"/>
              <w:jc w:val="center"/>
              <w:rPr>
                <w:rFonts w:hint="eastAsia" w:hAnsi="宋体" w:eastAsia="宋体" w:cs="宋体"/>
                <w:color w:val="auto"/>
                <w:sz w:val="18"/>
                <w:highlight w:val="none"/>
              </w:rPr>
            </w:pPr>
          </w:p>
        </w:tc>
      </w:tr>
      <w:tr w14:paraId="2CBE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81" w:type="dxa"/>
            <w:gridSpan w:val="2"/>
            <w:noWrap w:val="0"/>
            <w:vAlign w:val="center"/>
          </w:tcPr>
          <w:p w14:paraId="7774CC6F">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pacing w:val="-6"/>
                <w:sz w:val="22"/>
                <w:szCs w:val="22"/>
                <w:highlight w:val="none"/>
              </w:rPr>
              <w:t xml:space="preserve">投标报价      </w:t>
            </w:r>
          </w:p>
        </w:tc>
        <w:tc>
          <w:tcPr>
            <w:tcW w:w="4003" w:type="dxa"/>
            <w:noWrap w:val="0"/>
            <w:vAlign w:val="center"/>
          </w:tcPr>
          <w:p w14:paraId="1F867BE3">
            <w:pPr>
              <w:tabs>
                <w:tab w:val="left" w:pos="1418"/>
              </w:tabs>
              <w:snapToGrid w:val="0"/>
              <w:spacing w:line="288" w:lineRule="auto"/>
              <w:jc w:val="left"/>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rPr>
              <w:t>小写：</w:t>
            </w:r>
          </w:p>
          <w:p w14:paraId="57698A79">
            <w:pPr>
              <w:pStyle w:val="20"/>
              <w:spacing w:line="400" w:lineRule="exact"/>
              <w:jc w:val="both"/>
              <w:rPr>
                <w:rFonts w:hint="eastAsia" w:hAnsi="宋体" w:eastAsia="宋体" w:cs="宋体"/>
                <w:color w:val="auto"/>
                <w:sz w:val="18"/>
                <w:highlight w:val="none"/>
              </w:rPr>
            </w:pPr>
            <w:r>
              <w:rPr>
                <w:rFonts w:hint="eastAsia" w:hAnsi="宋体" w:eastAsia="宋体" w:cs="宋体"/>
                <w:color w:val="auto"/>
                <w:spacing w:val="-6"/>
                <w:sz w:val="22"/>
                <w:szCs w:val="22"/>
                <w:highlight w:val="none"/>
              </w:rPr>
              <w:t>大写：</w:t>
            </w:r>
          </w:p>
        </w:tc>
      </w:tr>
    </w:tbl>
    <w:p w14:paraId="561737C2">
      <w:pPr>
        <w:spacing w:line="360" w:lineRule="auto"/>
        <w:ind w:firstLine="440" w:firstLineChars="200"/>
        <w:outlineLvl w:val="0"/>
        <w:rPr>
          <w:rFonts w:hint="eastAsia" w:ascii="宋体" w:hAnsi="宋体" w:cs="宋体"/>
          <w:color w:val="auto"/>
          <w:sz w:val="22"/>
          <w:szCs w:val="22"/>
          <w:highlight w:val="none"/>
        </w:rPr>
      </w:pPr>
    </w:p>
    <w:p w14:paraId="29D32512">
      <w:pPr>
        <w:spacing w:line="380" w:lineRule="exact"/>
        <w:ind w:left="528" w:leftChars="-15" w:hanging="559" w:hangingChars="253"/>
        <w:rPr>
          <w:rFonts w:hint="eastAsia" w:ascii="宋体" w:hAnsi="宋体" w:cs="宋体"/>
          <w:b/>
          <w:color w:val="auto"/>
          <w:sz w:val="22"/>
          <w:highlight w:val="none"/>
        </w:rPr>
      </w:pPr>
      <w:r>
        <w:rPr>
          <w:rFonts w:hint="eastAsia" w:ascii="宋体" w:hAnsi="宋体" w:cs="宋体"/>
          <w:b/>
          <w:color w:val="auto"/>
          <w:sz w:val="22"/>
          <w:highlight w:val="none"/>
        </w:rPr>
        <w:t>说明：</w:t>
      </w:r>
    </w:p>
    <w:p w14:paraId="6EBBBA67">
      <w:pPr>
        <w:numPr>
          <w:ilvl w:val="0"/>
          <w:numId w:val="32"/>
        </w:numPr>
        <w:spacing w:line="380" w:lineRule="exact"/>
        <w:ind w:left="530" w:leftChars="-14" w:hanging="559" w:hangingChars="253"/>
        <w:rPr>
          <w:rFonts w:hint="eastAsia" w:ascii="宋体" w:hAnsi="宋体" w:cs="宋体"/>
          <w:b/>
          <w:color w:val="auto"/>
          <w:sz w:val="22"/>
          <w:szCs w:val="22"/>
          <w:highlight w:val="none"/>
          <w:u w:val="single"/>
        </w:rPr>
      </w:pPr>
      <w:r>
        <w:rPr>
          <w:rFonts w:hint="eastAsia" w:ascii="宋体" w:hAnsi="宋体" w:cs="宋体"/>
          <w:b/>
          <w:bCs/>
          <w:color w:val="auto"/>
          <w:sz w:val="22"/>
          <w:szCs w:val="22"/>
          <w:highlight w:val="none"/>
        </w:rPr>
        <w:t>▲</w:t>
      </w:r>
      <w:r>
        <w:rPr>
          <w:rFonts w:hint="eastAsia" w:ascii="宋体" w:hAnsi="宋体" w:cs="宋体"/>
          <w:b/>
          <w:color w:val="auto"/>
          <w:sz w:val="22"/>
          <w:szCs w:val="22"/>
          <w:highlight w:val="none"/>
          <w:u w:val="single"/>
        </w:rPr>
        <w:t>不按要求提供开标一览表的投标文件将被视为未实质性响应采购文件。</w:t>
      </w:r>
    </w:p>
    <w:p w14:paraId="7658C78B">
      <w:pPr>
        <w:pStyle w:val="2"/>
        <w:ind w:firstLine="480"/>
        <w:rPr>
          <w:rFonts w:hint="eastAsia"/>
          <w:color w:val="auto"/>
          <w:highlight w:val="none"/>
        </w:rPr>
      </w:pPr>
    </w:p>
    <w:p w14:paraId="6BEE7D31">
      <w:pPr>
        <w:spacing w:line="380" w:lineRule="exact"/>
        <w:rPr>
          <w:rFonts w:ascii="宋体" w:hAnsi="宋体"/>
          <w:color w:val="auto"/>
          <w:sz w:val="22"/>
          <w:szCs w:val="22"/>
          <w:highlight w:val="none"/>
        </w:rPr>
      </w:pPr>
      <w:r>
        <w:rPr>
          <w:rFonts w:hint="eastAsia" w:ascii="宋体" w:hAnsi="宋体"/>
          <w:color w:val="auto"/>
          <w:sz w:val="22"/>
          <w:szCs w:val="22"/>
          <w:highlight w:val="none"/>
        </w:rPr>
        <w:t>投标人全称（盖章）：</w:t>
      </w:r>
    </w:p>
    <w:p w14:paraId="563ACF87">
      <w:pPr>
        <w:spacing w:line="380" w:lineRule="exact"/>
        <w:rPr>
          <w:rFonts w:ascii="宋体" w:hAnsi="宋体"/>
          <w:color w:val="auto"/>
          <w:sz w:val="22"/>
          <w:szCs w:val="22"/>
          <w:highlight w:val="none"/>
        </w:rPr>
      </w:pPr>
      <w:r>
        <w:rPr>
          <w:rFonts w:hint="eastAsia" w:ascii="宋体" w:hAnsi="宋体"/>
          <w:color w:val="auto"/>
          <w:sz w:val="22"/>
          <w:szCs w:val="22"/>
          <w:highlight w:val="none"/>
        </w:rPr>
        <w:t>法定代表人</w:t>
      </w:r>
      <w:r>
        <w:rPr>
          <w:rFonts w:hint="eastAsia" w:ascii="宋体" w:hAnsi="宋体" w:cs="宋体"/>
          <w:color w:val="auto"/>
          <w:sz w:val="22"/>
          <w:szCs w:val="22"/>
          <w:highlight w:val="none"/>
        </w:rPr>
        <w:t>（负责人）</w:t>
      </w:r>
      <w:r>
        <w:rPr>
          <w:rFonts w:hint="eastAsia" w:ascii="宋体" w:hAnsi="宋体"/>
          <w:color w:val="auto"/>
          <w:sz w:val="22"/>
          <w:szCs w:val="22"/>
          <w:highlight w:val="none"/>
        </w:rPr>
        <w:t>或授权代表（签字或盖章）：</w:t>
      </w:r>
    </w:p>
    <w:p w14:paraId="40C9A105">
      <w:pPr>
        <w:spacing w:line="380" w:lineRule="exact"/>
        <w:rPr>
          <w:rFonts w:ascii="宋体" w:hAnsi="宋体"/>
          <w:color w:val="auto"/>
          <w:sz w:val="22"/>
          <w:szCs w:val="22"/>
          <w:highlight w:val="none"/>
        </w:rPr>
      </w:pPr>
      <w:r>
        <w:rPr>
          <w:rFonts w:hint="eastAsia" w:ascii="宋体" w:hAnsi="宋体"/>
          <w:color w:val="auto"/>
          <w:sz w:val="22"/>
          <w:szCs w:val="22"/>
          <w:highlight w:val="none"/>
        </w:rPr>
        <w:t>日 期：  年  月  日</w:t>
      </w:r>
    </w:p>
    <w:p w14:paraId="47239FC1">
      <w:pPr>
        <w:adjustRightInd w:val="0"/>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br w:type="page"/>
      </w:r>
    </w:p>
    <w:p w14:paraId="51492D9F">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（2）分项报价表</w:t>
      </w:r>
    </w:p>
    <w:p w14:paraId="78953A35">
      <w:pPr>
        <w:pStyle w:val="20"/>
        <w:snapToGrid w:val="0"/>
        <w:spacing w:line="288" w:lineRule="auto"/>
        <w:ind w:firstLine="1144" w:firstLineChars="550"/>
        <w:jc w:val="right"/>
        <w:rPr>
          <w:rFonts w:hint="eastAsia" w:hAnsi="宋体" w:cs="宋体"/>
          <w:color w:val="auto"/>
          <w:spacing w:val="-6"/>
          <w:sz w:val="22"/>
          <w:szCs w:val="22"/>
          <w:highlight w:val="none"/>
        </w:rPr>
      </w:pPr>
      <w:r>
        <w:rPr>
          <w:rFonts w:hint="eastAsia" w:hAnsi="宋体" w:cs="宋体"/>
          <w:color w:val="auto"/>
          <w:spacing w:val="-6"/>
          <w:sz w:val="22"/>
          <w:szCs w:val="22"/>
          <w:highlight w:val="none"/>
        </w:rPr>
        <w:t>金额单位：人民币（元）</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39"/>
        <w:gridCol w:w="2306"/>
        <w:gridCol w:w="1791"/>
        <w:gridCol w:w="1072"/>
        <w:gridCol w:w="1612"/>
        <w:gridCol w:w="1255"/>
        <w:gridCol w:w="1279"/>
      </w:tblGrid>
      <w:tr w14:paraId="5875A1A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shd w:val="clear" w:color="auto" w:fill="D9D9D9"/>
            <w:noWrap w:val="0"/>
            <w:vAlign w:val="center"/>
          </w:tcPr>
          <w:p w14:paraId="182739E8">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序号</w:t>
            </w:r>
          </w:p>
        </w:tc>
        <w:tc>
          <w:tcPr>
            <w:tcW w:w="2306" w:type="dxa"/>
            <w:shd w:val="clear" w:color="auto" w:fill="D9D9D9"/>
            <w:noWrap w:val="0"/>
            <w:vAlign w:val="center"/>
          </w:tcPr>
          <w:p w14:paraId="06FC18AF">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名称</w:t>
            </w:r>
          </w:p>
        </w:tc>
        <w:tc>
          <w:tcPr>
            <w:tcW w:w="1791" w:type="dxa"/>
            <w:shd w:val="clear" w:color="auto" w:fill="D9D9D9"/>
            <w:noWrap w:val="0"/>
            <w:vAlign w:val="center"/>
          </w:tcPr>
          <w:p w14:paraId="60570E9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型号和规格（如有）</w:t>
            </w:r>
          </w:p>
        </w:tc>
        <w:tc>
          <w:tcPr>
            <w:tcW w:w="1072" w:type="dxa"/>
            <w:shd w:val="clear" w:color="auto" w:fill="D9D9D9"/>
            <w:noWrap w:val="0"/>
            <w:vAlign w:val="center"/>
          </w:tcPr>
          <w:p w14:paraId="073DEFA4">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612" w:type="dxa"/>
            <w:shd w:val="clear" w:color="auto" w:fill="D9D9D9"/>
            <w:noWrap w:val="0"/>
            <w:vAlign w:val="center"/>
          </w:tcPr>
          <w:p w14:paraId="46FE13A4">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原产地</w:t>
            </w:r>
          </w:p>
          <w:p w14:paraId="7D132173">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和制造商</w:t>
            </w:r>
          </w:p>
          <w:p w14:paraId="3111201F">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（如有）</w:t>
            </w:r>
          </w:p>
        </w:tc>
        <w:tc>
          <w:tcPr>
            <w:tcW w:w="1255" w:type="dxa"/>
            <w:shd w:val="clear" w:color="auto" w:fill="D9D9D9"/>
            <w:noWrap w:val="0"/>
            <w:vAlign w:val="center"/>
          </w:tcPr>
          <w:p w14:paraId="63810C92">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单价（元）</w:t>
            </w:r>
          </w:p>
        </w:tc>
        <w:tc>
          <w:tcPr>
            <w:tcW w:w="1279" w:type="dxa"/>
            <w:shd w:val="clear" w:color="auto" w:fill="D9D9D9"/>
            <w:noWrap w:val="0"/>
            <w:vAlign w:val="center"/>
          </w:tcPr>
          <w:p w14:paraId="51FA182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合价（元）</w:t>
            </w:r>
          </w:p>
        </w:tc>
      </w:tr>
      <w:tr w14:paraId="3321079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539" w:type="dxa"/>
            <w:vMerge w:val="restart"/>
            <w:noWrap w:val="0"/>
            <w:vAlign w:val="center"/>
          </w:tcPr>
          <w:p w14:paraId="03031B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306" w:type="dxa"/>
            <w:vMerge w:val="restart"/>
            <w:noWrap w:val="0"/>
            <w:vAlign w:val="center"/>
          </w:tcPr>
          <w:p w14:paraId="027A0C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主要部件</w:t>
            </w:r>
          </w:p>
        </w:tc>
        <w:tc>
          <w:tcPr>
            <w:tcW w:w="1791" w:type="dxa"/>
            <w:noWrap w:val="0"/>
            <w:vAlign w:val="center"/>
          </w:tcPr>
          <w:p w14:paraId="59557E01">
            <w:pPr>
              <w:jc w:val="center"/>
              <w:rPr>
                <w:rFonts w:hint="eastAsia" w:ascii="宋体" w:hAnsi="宋体" w:eastAsia="宋体" w:cs="宋体"/>
                <w:color w:val="auto"/>
                <w:sz w:val="22"/>
                <w:szCs w:val="22"/>
                <w:highlight w:val="none"/>
              </w:rPr>
            </w:pPr>
          </w:p>
        </w:tc>
        <w:tc>
          <w:tcPr>
            <w:tcW w:w="1072" w:type="dxa"/>
            <w:noWrap w:val="0"/>
            <w:vAlign w:val="center"/>
          </w:tcPr>
          <w:p w14:paraId="346B8D50">
            <w:pPr>
              <w:jc w:val="center"/>
              <w:rPr>
                <w:rFonts w:hint="eastAsia" w:ascii="宋体" w:hAnsi="宋体" w:eastAsia="宋体" w:cs="宋体"/>
                <w:color w:val="auto"/>
                <w:sz w:val="22"/>
                <w:szCs w:val="22"/>
                <w:highlight w:val="none"/>
              </w:rPr>
            </w:pPr>
          </w:p>
        </w:tc>
        <w:tc>
          <w:tcPr>
            <w:tcW w:w="1612" w:type="dxa"/>
            <w:noWrap w:val="0"/>
            <w:vAlign w:val="center"/>
          </w:tcPr>
          <w:p w14:paraId="55731079">
            <w:pPr>
              <w:jc w:val="center"/>
              <w:rPr>
                <w:rFonts w:hint="eastAsia" w:ascii="宋体" w:hAnsi="宋体" w:eastAsia="宋体" w:cs="宋体"/>
                <w:color w:val="auto"/>
                <w:sz w:val="22"/>
                <w:szCs w:val="22"/>
                <w:highlight w:val="none"/>
              </w:rPr>
            </w:pPr>
          </w:p>
        </w:tc>
        <w:tc>
          <w:tcPr>
            <w:tcW w:w="1255" w:type="dxa"/>
            <w:noWrap w:val="0"/>
            <w:vAlign w:val="center"/>
          </w:tcPr>
          <w:p w14:paraId="00E4A76C">
            <w:pPr>
              <w:jc w:val="center"/>
              <w:rPr>
                <w:rFonts w:hint="eastAsia" w:ascii="宋体" w:hAnsi="宋体" w:eastAsia="宋体" w:cs="宋体"/>
                <w:color w:val="auto"/>
                <w:sz w:val="22"/>
                <w:szCs w:val="22"/>
                <w:highlight w:val="none"/>
              </w:rPr>
            </w:pPr>
          </w:p>
        </w:tc>
        <w:tc>
          <w:tcPr>
            <w:tcW w:w="1279" w:type="dxa"/>
            <w:noWrap w:val="0"/>
            <w:vAlign w:val="center"/>
          </w:tcPr>
          <w:p w14:paraId="757AD97B">
            <w:pPr>
              <w:jc w:val="center"/>
              <w:rPr>
                <w:rFonts w:hint="eastAsia" w:ascii="宋体" w:hAnsi="宋体" w:eastAsia="宋体" w:cs="宋体"/>
                <w:color w:val="auto"/>
                <w:sz w:val="22"/>
                <w:szCs w:val="22"/>
                <w:highlight w:val="none"/>
              </w:rPr>
            </w:pPr>
          </w:p>
        </w:tc>
      </w:tr>
      <w:tr w14:paraId="094E8B1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539" w:type="dxa"/>
            <w:vMerge w:val="continue"/>
            <w:noWrap w:val="0"/>
            <w:vAlign w:val="center"/>
          </w:tcPr>
          <w:p w14:paraId="46A6BC2A">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1A830CD6">
            <w:pPr>
              <w:jc w:val="center"/>
              <w:rPr>
                <w:rFonts w:hint="eastAsia" w:ascii="宋体" w:hAnsi="宋体" w:eastAsia="宋体" w:cs="宋体"/>
                <w:color w:val="auto"/>
                <w:sz w:val="22"/>
                <w:szCs w:val="22"/>
                <w:highlight w:val="none"/>
              </w:rPr>
            </w:pPr>
          </w:p>
        </w:tc>
        <w:tc>
          <w:tcPr>
            <w:tcW w:w="1791" w:type="dxa"/>
            <w:noWrap w:val="0"/>
            <w:vAlign w:val="center"/>
          </w:tcPr>
          <w:p w14:paraId="5E54960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32F055DB">
            <w:pPr>
              <w:jc w:val="center"/>
              <w:rPr>
                <w:rFonts w:hint="eastAsia" w:ascii="宋体" w:hAnsi="宋体" w:eastAsia="宋体" w:cs="宋体"/>
                <w:color w:val="auto"/>
                <w:sz w:val="22"/>
                <w:szCs w:val="22"/>
                <w:highlight w:val="none"/>
              </w:rPr>
            </w:pPr>
          </w:p>
        </w:tc>
        <w:tc>
          <w:tcPr>
            <w:tcW w:w="1612" w:type="dxa"/>
            <w:noWrap w:val="0"/>
            <w:vAlign w:val="center"/>
          </w:tcPr>
          <w:p w14:paraId="35BA0A71">
            <w:pPr>
              <w:jc w:val="center"/>
              <w:rPr>
                <w:rFonts w:hint="eastAsia" w:ascii="宋体" w:hAnsi="宋体" w:eastAsia="宋体" w:cs="宋体"/>
                <w:color w:val="auto"/>
                <w:sz w:val="22"/>
                <w:szCs w:val="22"/>
                <w:highlight w:val="none"/>
              </w:rPr>
            </w:pPr>
          </w:p>
        </w:tc>
        <w:tc>
          <w:tcPr>
            <w:tcW w:w="1255" w:type="dxa"/>
            <w:noWrap w:val="0"/>
            <w:vAlign w:val="center"/>
          </w:tcPr>
          <w:p w14:paraId="498EDD89">
            <w:pPr>
              <w:jc w:val="center"/>
              <w:rPr>
                <w:rFonts w:hint="eastAsia" w:ascii="宋体" w:hAnsi="宋体" w:eastAsia="宋体" w:cs="宋体"/>
                <w:color w:val="auto"/>
                <w:sz w:val="22"/>
                <w:szCs w:val="22"/>
                <w:highlight w:val="none"/>
              </w:rPr>
            </w:pPr>
          </w:p>
        </w:tc>
        <w:tc>
          <w:tcPr>
            <w:tcW w:w="1279" w:type="dxa"/>
            <w:noWrap w:val="0"/>
            <w:vAlign w:val="center"/>
          </w:tcPr>
          <w:p w14:paraId="3CB54E18">
            <w:pPr>
              <w:jc w:val="center"/>
              <w:rPr>
                <w:rFonts w:hint="eastAsia" w:ascii="宋体" w:hAnsi="宋体" w:eastAsia="宋体" w:cs="宋体"/>
                <w:color w:val="auto"/>
                <w:sz w:val="22"/>
                <w:szCs w:val="22"/>
                <w:highlight w:val="none"/>
              </w:rPr>
            </w:pPr>
          </w:p>
        </w:tc>
      </w:tr>
      <w:tr w14:paraId="34CA6D3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restart"/>
            <w:noWrap w:val="0"/>
            <w:vAlign w:val="center"/>
          </w:tcPr>
          <w:p w14:paraId="7B3C7A4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306" w:type="dxa"/>
            <w:vMerge w:val="restart"/>
            <w:noWrap w:val="0"/>
            <w:vAlign w:val="center"/>
          </w:tcPr>
          <w:p w14:paraId="0149F1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质保期内备品备件</w:t>
            </w:r>
          </w:p>
        </w:tc>
        <w:tc>
          <w:tcPr>
            <w:tcW w:w="1791" w:type="dxa"/>
            <w:noWrap w:val="0"/>
            <w:vAlign w:val="center"/>
          </w:tcPr>
          <w:p w14:paraId="13B04A7F">
            <w:pPr>
              <w:jc w:val="center"/>
              <w:rPr>
                <w:rFonts w:hint="eastAsia" w:ascii="宋体" w:hAnsi="宋体" w:eastAsia="宋体" w:cs="宋体"/>
                <w:color w:val="auto"/>
                <w:sz w:val="22"/>
                <w:szCs w:val="22"/>
                <w:highlight w:val="none"/>
              </w:rPr>
            </w:pPr>
          </w:p>
        </w:tc>
        <w:tc>
          <w:tcPr>
            <w:tcW w:w="1072" w:type="dxa"/>
            <w:noWrap w:val="0"/>
            <w:vAlign w:val="center"/>
          </w:tcPr>
          <w:p w14:paraId="571AA567">
            <w:pPr>
              <w:jc w:val="center"/>
              <w:rPr>
                <w:rFonts w:hint="eastAsia" w:ascii="宋体" w:hAnsi="宋体" w:eastAsia="宋体" w:cs="宋体"/>
                <w:color w:val="auto"/>
                <w:sz w:val="22"/>
                <w:szCs w:val="22"/>
                <w:highlight w:val="none"/>
              </w:rPr>
            </w:pPr>
          </w:p>
        </w:tc>
        <w:tc>
          <w:tcPr>
            <w:tcW w:w="1612" w:type="dxa"/>
            <w:noWrap w:val="0"/>
            <w:vAlign w:val="center"/>
          </w:tcPr>
          <w:p w14:paraId="2B676BE9">
            <w:pPr>
              <w:jc w:val="center"/>
              <w:rPr>
                <w:rFonts w:hint="eastAsia" w:ascii="宋体" w:hAnsi="宋体" w:eastAsia="宋体" w:cs="宋体"/>
                <w:color w:val="auto"/>
                <w:sz w:val="22"/>
                <w:szCs w:val="22"/>
                <w:highlight w:val="none"/>
              </w:rPr>
            </w:pPr>
          </w:p>
        </w:tc>
        <w:tc>
          <w:tcPr>
            <w:tcW w:w="1255" w:type="dxa"/>
            <w:noWrap w:val="0"/>
            <w:vAlign w:val="center"/>
          </w:tcPr>
          <w:p w14:paraId="0089D174">
            <w:pPr>
              <w:jc w:val="center"/>
              <w:rPr>
                <w:rFonts w:hint="eastAsia" w:ascii="宋体" w:hAnsi="宋体" w:eastAsia="宋体" w:cs="宋体"/>
                <w:color w:val="auto"/>
                <w:sz w:val="22"/>
                <w:szCs w:val="22"/>
                <w:highlight w:val="none"/>
              </w:rPr>
            </w:pPr>
          </w:p>
        </w:tc>
        <w:tc>
          <w:tcPr>
            <w:tcW w:w="1279" w:type="dxa"/>
            <w:noWrap w:val="0"/>
            <w:vAlign w:val="center"/>
          </w:tcPr>
          <w:p w14:paraId="2209FC24">
            <w:pPr>
              <w:jc w:val="center"/>
              <w:rPr>
                <w:rFonts w:hint="eastAsia" w:ascii="宋体" w:hAnsi="宋体" w:eastAsia="宋体" w:cs="宋体"/>
                <w:color w:val="auto"/>
                <w:sz w:val="22"/>
                <w:szCs w:val="22"/>
                <w:highlight w:val="none"/>
              </w:rPr>
            </w:pPr>
          </w:p>
        </w:tc>
      </w:tr>
      <w:tr w14:paraId="0D70734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continue"/>
            <w:noWrap w:val="0"/>
            <w:vAlign w:val="center"/>
          </w:tcPr>
          <w:p w14:paraId="3166F67C">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0173DDE2">
            <w:pPr>
              <w:jc w:val="center"/>
              <w:rPr>
                <w:rFonts w:hint="eastAsia" w:ascii="宋体" w:hAnsi="宋体" w:eastAsia="宋体" w:cs="宋体"/>
                <w:color w:val="auto"/>
                <w:sz w:val="22"/>
                <w:szCs w:val="22"/>
                <w:highlight w:val="none"/>
              </w:rPr>
            </w:pPr>
          </w:p>
        </w:tc>
        <w:tc>
          <w:tcPr>
            <w:tcW w:w="1791" w:type="dxa"/>
            <w:noWrap w:val="0"/>
            <w:vAlign w:val="center"/>
          </w:tcPr>
          <w:p w14:paraId="16482EC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5204D0B9">
            <w:pPr>
              <w:jc w:val="center"/>
              <w:rPr>
                <w:rFonts w:hint="eastAsia" w:ascii="宋体" w:hAnsi="宋体" w:eastAsia="宋体" w:cs="宋体"/>
                <w:color w:val="auto"/>
                <w:sz w:val="22"/>
                <w:szCs w:val="22"/>
                <w:highlight w:val="none"/>
              </w:rPr>
            </w:pPr>
          </w:p>
        </w:tc>
        <w:tc>
          <w:tcPr>
            <w:tcW w:w="1612" w:type="dxa"/>
            <w:noWrap w:val="0"/>
            <w:vAlign w:val="center"/>
          </w:tcPr>
          <w:p w14:paraId="53533F88">
            <w:pPr>
              <w:jc w:val="center"/>
              <w:rPr>
                <w:rFonts w:hint="eastAsia" w:ascii="宋体" w:hAnsi="宋体" w:eastAsia="宋体" w:cs="宋体"/>
                <w:color w:val="auto"/>
                <w:sz w:val="22"/>
                <w:szCs w:val="22"/>
                <w:highlight w:val="none"/>
              </w:rPr>
            </w:pPr>
          </w:p>
        </w:tc>
        <w:tc>
          <w:tcPr>
            <w:tcW w:w="1255" w:type="dxa"/>
            <w:noWrap w:val="0"/>
            <w:vAlign w:val="center"/>
          </w:tcPr>
          <w:p w14:paraId="7C5B6BE0">
            <w:pPr>
              <w:jc w:val="center"/>
              <w:rPr>
                <w:rFonts w:hint="eastAsia" w:ascii="宋体" w:hAnsi="宋体" w:eastAsia="宋体" w:cs="宋体"/>
                <w:color w:val="auto"/>
                <w:sz w:val="22"/>
                <w:szCs w:val="22"/>
                <w:highlight w:val="none"/>
              </w:rPr>
            </w:pPr>
          </w:p>
        </w:tc>
        <w:tc>
          <w:tcPr>
            <w:tcW w:w="1279" w:type="dxa"/>
            <w:noWrap w:val="0"/>
            <w:vAlign w:val="center"/>
          </w:tcPr>
          <w:p w14:paraId="3BC45CD8">
            <w:pPr>
              <w:jc w:val="center"/>
              <w:rPr>
                <w:rFonts w:hint="eastAsia" w:ascii="宋体" w:hAnsi="宋体" w:eastAsia="宋体" w:cs="宋体"/>
                <w:color w:val="auto"/>
                <w:sz w:val="22"/>
                <w:szCs w:val="22"/>
                <w:highlight w:val="none"/>
              </w:rPr>
            </w:pPr>
          </w:p>
        </w:tc>
      </w:tr>
      <w:tr w14:paraId="62862DE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restart"/>
            <w:noWrap w:val="0"/>
            <w:vAlign w:val="center"/>
          </w:tcPr>
          <w:p w14:paraId="1EC0023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306" w:type="dxa"/>
            <w:vMerge w:val="restart"/>
            <w:noWrap w:val="0"/>
            <w:vAlign w:val="center"/>
          </w:tcPr>
          <w:p w14:paraId="649825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专用工具</w:t>
            </w:r>
          </w:p>
        </w:tc>
        <w:tc>
          <w:tcPr>
            <w:tcW w:w="1791" w:type="dxa"/>
            <w:noWrap w:val="0"/>
            <w:vAlign w:val="center"/>
          </w:tcPr>
          <w:p w14:paraId="0E84762E">
            <w:pPr>
              <w:jc w:val="center"/>
              <w:rPr>
                <w:rFonts w:hint="eastAsia" w:ascii="宋体" w:hAnsi="宋体" w:eastAsia="宋体" w:cs="宋体"/>
                <w:color w:val="auto"/>
                <w:sz w:val="22"/>
                <w:szCs w:val="22"/>
                <w:highlight w:val="none"/>
              </w:rPr>
            </w:pPr>
          </w:p>
        </w:tc>
        <w:tc>
          <w:tcPr>
            <w:tcW w:w="1072" w:type="dxa"/>
            <w:noWrap w:val="0"/>
            <w:vAlign w:val="center"/>
          </w:tcPr>
          <w:p w14:paraId="3E9181A2">
            <w:pPr>
              <w:jc w:val="center"/>
              <w:rPr>
                <w:rFonts w:hint="eastAsia" w:ascii="宋体" w:hAnsi="宋体" w:eastAsia="宋体" w:cs="宋体"/>
                <w:color w:val="auto"/>
                <w:sz w:val="22"/>
                <w:szCs w:val="22"/>
                <w:highlight w:val="none"/>
              </w:rPr>
            </w:pPr>
          </w:p>
        </w:tc>
        <w:tc>
          <w:tcPr>
            <w:tcW w:w="1612" w:type="dxa"/>
            <w:noWrap w:val="0"/>
            <w:vAlign w:val="center"/>
          </w:tcPr>
          <w:p w14:paraId="42B27AFF">
            <w:pPr>
              <w:jc w:val="center"/>
              <w:rPr>
                <w:rFonts w:hint="eastAsia" w:ascii="宋体" w:hAnsi="宋体" w:eastAsia="宋体" w:cs="宋体"/>
                <w:color w:val="auto"/>
                <w:sz w:val="22"/>
                <w:szCs w:val="22"/>
                <w:highlight w:val="none"/>
              </w:rPr>
            </w:pPr>
          </w:p>
        </w:tc>
        <w:tc>
          <w:tcPr>
            <w:tcW w:w="1255" w:type="dxa"/>
            <w:noWrap w:val="0"/>
            <w:vAlign w:val="center"/>
          </w:tcPr>
          <w:p w14:paraId="3A586164">
            <w:pPr>
              <w:jc w:val="center"/>
              <w:rPr>
                <w:rFonts w:hint="eastAsia" w:ascii="宋体" w:hAnsi="宋体" w:eastAsia="宋体" w:cs="宋体"/>
                <w:color w:val="auto"/>
                <w:sz w:val="22"/>
                <w:szCs w:val="22"/>
                <w:highlight w:val="none"/>
              </w:rPr>
            </w:pPr>
          </w:p>
        </w:tc>
        <w:tc>
          <w:tcPr>
            <w:tcW w:w="1279" w:type="dxa"/>
            <w:noWrap w:val="0"/>
            <w:vAlign w:val="center"/>
          </w:tcPr>
          <w:p w14:paraId="63C3AD00">
            <w:pPr>
              <w:jc w:val="center"/>
              <w:rPr>
                <w:rFonts w:hint="eastAsia" w:ascii="宋体" w:hAnsi="宋体" w:eastAsia="宋体" w:cs="宋体"/>
                <w:color w:val="auto"/>
                <w:sz w:val="22"/>
                <w:szCs w:val="22"/>
                <w:highlight w:val="none"/>
              </w:rPr>
            </w:pPr>
          </w:p>
        </w:tc>
      </w:tr>
      <w:tr w14:paraId="3A2D68A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continue"/>
            <w:noWrap w:val="0"/>
            <w:vAlign w:val="center"/>
          </w:tcPr>
          <w:p w14:paraId="5280C326">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36DFF221">
            <w:pPr>
              <w:jc w:val="center"/>
              <w:rPr>
                <w:rFonts w:hint="eastAsia" w:ascii="宋体" w:hAnsi="宋体" w:eastAsia="宋体" w:cs="宋体"/>
                <w:color w:val="auto"/>
                <w:sz w:val="22"/>
                <w:szCs w:val="22"/>
                <w:highlight w:val="none"/>
              </w:rPr>
            </w:pPr>
          </w:p>
        </w:tc>
        <w:tc>
          <w:tcPr>
            <w:tcW w:w="1791" w:type="dxa"/>
            <w:noWrap w:val="0"/>
            <w:vAlign w:val="center"/>
          </w:tcPr>
          <w:p w14:paraId="1FB8BBE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47E05DA2">
            <w:pPr>
              <w:jc w:val="center"/>
              <w:rPr>
                <w:rFonts w:hint="eastAsia" w:ascii="宋体" w:hAnsi="宋体" w:eastAsia="宋体" w:cs="宋体"/>
                <w:color w:val="auto"/>
                <w:sz w:val="22"/>
                <w:szCs w:val="22"/>
                <w:highlight w:val="none"/>
              </w:rPr>
            </w:pPr>
          </w:p>
        </w:tc>
        <w:tc>
          <w:tcPr>
            <w:tcW w:w="1612" w:type="dxa"/>
            <w:noWrap w:val="0"/>
            <w:vAlign w:val="center"/>
          </w:tcPr>
          <w:p w14:paraId="6E7B04C7">
            <w:pPr>
              <w:jc w:val="center"/>
              <w:rPr>
                <w:rFonts w:hint="eastAsia" w:ascii="宋体" w:hAnsi="宋体" w:eastAsia="宋体" w:cs="宋体"/>
                <w:color w:val="auto"/>
                <w:sz w:val="22"/>
                <w:szCs w:val="22"/>
                <w:highlight w:val="none"/>
              </w:rPr>
            </w:pPr>
          </w:p>
        </w:tc>
        <w:tc>
          <w:tcPr>
            <w:tcW w:w="1255" w:type="dxa"/>
            <w:noWrap w:val="0"/>
            <w:vAlign w:val="center"/>
          </w:tcPr>
          <w:p w14:paraId="05260C56">
            <w:pPr>
              <w:jc w:val="center"/>
              <w:rPr>
                <w:rFonts w:hint="eastAsia" w:ascii="宋体" w:hAnsi="宋体" w:eastAsia="宋体" w:cs="宋体"/>
                <w:color w:val="auto"/>
                <w:sz w:val="22"/>
                <w:szCs w:val="22"/>
                <w:highlight w:val="none"/>
              </w:rPr>
            </w:pPr>
          </w:p>
        </w:tc>
        <w:tc>
          <w:tcPr>
            <w:tcW w:w="1279" w:type="dxa"/>
            <w:noWrap w:val="0"/>
            <w:vAlign w:val="center"/>
          </w:tcPr>
          <w:p w14:paraId="480394FF">
            <w:pPr>
              <w:jc w:val="center"/>
              <w:rPr>
                <w:rFonts w:hint="eastAsia" w:ascii="宋体" w:hAnsi="宋体" w:eastAsia="宋体" w:cs="宋体"/>
                <w:color w:val="auto"/>
                <w:sz w:val="22"/>
                <w:szCs w:val="22"/>
                <w:highlight w:val="none"/>
              </w:rPr>
            </w:pPr>
          </w:p>
        </w:tc>
      </w:tr>
      <w:tr w14:paraId="7B048B0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502DBD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306" w:type="dxa"/>
            <w:noWrap w:val="0"/>
            <w:vAlign w:val="center"/>
          </w:tcPr>
          <w:p w14:paraId="6AE4C8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w:t>
            </w:r>
          </w:p>
        </w:tc>
        <w:tc>
          <w:tcPr>
            <w:tcW w:w="1791" w:type="dxa"/>
            <w:noWrap w:val="0"/>
            <w:vAlign w:val="center"/>
          </w:tcPr>
          <w:p w14:paraId="7EEA5C4C">
            <w:pPr>
              <w:jc w:val="center"/>
              <w:rPr>
                <w:rFonts w:hint="eastAsia" w:ascii="宋体" w:hAnsi="宋体" w:eastAsia="宋体" w:cs="宋体"/>
                <w:color w:val="auto"/>
                <w:sz w:val="22"/>
                <w:szCs w:val="22"/>
                <w:highlight w:val="none"/>
              </w:rPr>
            </w:pPr>
          </w:p>
        </w:tc>
        <w:tc>
          <w:tcPr>
            <w:tcW w:w="1072" w:type="dxa"/>
            <w:noWrap w:val="0"/>
            <w:vAlign w:val="center"/>
          </w:tcPr>
          <w:p w14:paraId="372A149E">
            <w:pPr>
              <w:jc w:val="center"/>
              <w:rPr>
                <w:rFonts w:hint="eastAsia" w:ascii="宋体" w:hAnsi="宋体" w:eastAsia="宋体" w:cs="宋体"/>
                <w:color w:val="auto"/>
                <w:sz w:val="22"/>
                <w:szCs w:val="22"/>
                <w:highlight w:val="none"/>
              </w:rPr>
            </w:pPr>
          </w:p>
        </w:tc>
        <w:tc>
          <w:tcPr>
            <w:tcW w:w="1612" w:type="dxa"/>
            <w:noWrap w:val="0"/>
            <w:vAlign w:val="center"/>
          </w:tcPr>
          <w:p w14:paraId="42B8F16A">
            <w:pPr>
              <w:jc w:val="center"/>
              <w:rPr>
                <w:rFonts w:hint="eastAsia" w:ascii="宋体" w:hAnsi="宋体" w:eastAsia="宋体" w:cs="宋体"/>
                <w:color w:val="auto"/>
                <w:sz w:val="22"/>
                <w:szCs w:val="22"/>
                <w:highlight w:val="none"/>
              </w:rPr>
            </w:pPr>
          </w:p>
        </w:tc>
        <w:tc>
          <w:tcPr>
            <w:tcW w:w="1255" w:type="dxa"/>
            <w:noWrap w:val="0"/>
            <w:vAlign w:val="center"/>
          </w:tcPr>
          <w:p w14:paraId="504B94E1">
            <w:pPr>
              <w:jc w:val="center"/>
              <w:rPr>
                <w:rFonts w:hint="eastAsia" w:ascii="宋体" w:hAnsi="宋体" w:eastAsia="宋体" w:cs="宋体"/>
                <w:color w:val="auto"/>
                <w:sz w:val="22"/>
                <w:szCs w:val="22"/>
                <w:highlight w:val="none"/>
              </w:rPr>
            </w:pPr>
          </w:p>
        </w:tc>
        <w:tc>
          <w:tcPr>
            <w:tcW w:w="1279" w:type="dxa"/>
            <w:noWrap w:val="0"/>
            <w:vAlign w:val="center"/>
          </w:tcPr>
          <w:p w14:paraId="4EE13A91">
            <w:pPr>
              <w:jc w:val="center"/>
              <w:rPr>
                <w:rFonts w:hint="eastAsia" w:ascii="宋体" w:hAnsi="宋体" w:eastAsia="宋体" w:cs="宋体"/>
                <w:color w:val="auto"/>
                <w:sz w:val="22"/>
                <w:szCs w:val="22"/>
                <w:highlight w:val="none"/>
              </w:rPr>
            </w:pPr>
          </w:p>
        </w:tc>
      </w:tr>
      <w:tr w14:paraId="537DE67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3152E1B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306" w:type="dxa"/>
            <w:noWrap w:val="0"/>
            <w:vAlign w:val="center"/>
          </w:tcPr>
          <w:p w14:paraId="011102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调试</w:t>
            </w:r>
          </w:p>
        </w:tc>
        <w:tc>
          <w:tcPr>
            <w:tcW w:w="1791" w:type="dxa"/>
            <w:noWrap w:val="0"/>
            <w:vAlign w:val="center"/>
          </w:tcPr>
          <w:p w14:paraId="4C912BF3">
            <w:pPr>
              <w:jc w:val="center"/>
              <w:rPr>
                <w:rFonts w:hint="eastAsia" w:ascii="宋体" w:hAnsi="宋体" w:eastAsia="宋体" w:cs="宋体"/>
                <w:color w:val="auto"/>
                <w:sz w:val="22"/>
                <w:szCs w:val="22"/>
                <w:highlight w:val="none"/>
              </w:rPr>
            </w:pPr>
          </w:p>
        </w:tc>
        <w:tc>
          <w:tcPr>
            <w:tcW w:w="1072" w:type="dxa"/>
            <w:noWrap w:val="0"/>
            <w:vAlign w:val="center"/>
          </w:tcPr>
          <w:p w14:paraId="64C278F4">
            <w:pPr>
              <w:jc w:val="center"/>
              <w:rPr>
                <w:rFonts w:hint="eastAsia" w:ascii="宋体" w:hAnsi="宋体" w:eastAsia="宋体" w:cs="宋体"/>
                <w:color w:val="auto"/>
                <w:sz w:val="22"/>
                <w:szCs w:val="22"/>
                <w:highlight w:val="none"/>
              </w:rPr>
            </w:pPr>
          </w:p>
        </w:tc>
        <w:tc>
          <w:tcPr>
            <w:tcW w:w="1612" w:type="dxa"/>
            <w:noWrap w:val="0"/>
            <w:vAlign w:val="center"/>
          </w:tcPr>
          <w:p w14:paraId="67F1DB11">
            <w:pPr>
              <w:jc w:val="center"/>
              <w:rPr>
                <w:rFonts w:hint="eastAsia" w:ascii="宋体" w:hAnsi="宋体" w:eastAsia="宋体" w:cs="宋体"/>
                <w:color w:val="auto"/>
                <w:sz w:val="22"/>
                <w:szCs w:val="22"/>
                <w:highlight w:val="none"/>
              </w:rPr>
            </w:pPr>
          </w:p>
        </w:tc>
        <w:tc>
          <w:tcPr>
            <w:tcW w:w="1255" w:type="dxa"/>
            <w:noWrap w:val="0"/>
            <w:vAlign w:val="center"/>
          </w:tcPr>
          <w:p w14:paraId="153BC0B1">
            <w:pPr>
              <w:jc w:val="center"/>
              <w:rPr>
                <w:rFonts w:hint="eastAsia" w:ascii="宋体" w:hAnsi="宋体" w:eastAsia="宋体" w:cs="宋体"/>
                <w:color w:val="auto"/>
                <w:sz w:val="22"/>
                <w:szCs w:val="22"/>
                <w:highlight w:val="none"/>
              </w:rPr>
            </w:pPr>
          </w:p>
        </w:tc>
        <w:tc>
          <w:tcPr>
            <w:tcW w:w="1279" w:type="dxa"/>
            <w:noWrap w:val="0"/>
            <w:vAlign w:val="center"/>
          </w:tcPr>
          <w:p w14:paraId="43C70411">
            <w:pPr>
              <w:jc w:val="center"/>
              <w:rPr>
                <w:rFonts w:hint="eastAsia" w:ascii="宋体" w:hAnsi="宋体" w:eastAsia="宋体" w:cs="宋体"/>
                <w:color w:val="auto"/>
                <w:sz w:val="22"/>
                <w:szCs w:val="22"/>
                <w:highlight w:val="none"/>
              </w:rPr>
            </w:pPr>
          </w:p>
        </w:tc>
      </w:tr>
      <w:tr w14:paraId="015AD0B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3DAFFE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306" w:type="dxa"/>
            <w:noWrap w:val="0"/>
            <w:vAlign w:val="center"/>
          </w:tcPr>
          <w:p w14:paraId="1E23BC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w:t>
            </w:r>
          </w:p>
          <w:p w14:paraId="1EABB91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（含第三方验收）</w:t>
            </w:r>
          </w:p>
        </w:tc>
        <w:tc>
          <w:tcPr>
            <w:tcW w:w="1791" w:type="dxa"/>
            <w:noWrap w:val="0"/>
            <w:vAlign w:val="center"/>
          </w:tcPr>
          <w:p w14:paraId="6B370962">
            <w:pPr>
              <w:jc w:val="center"/>
              <w:rPr>
                <w:rFonts w:hint="eastAsia" w:ascii="宋体" w:hAnsi="宋体" w:eastAsia="宋体" w:cs="宋体"/>
                <w:color w:val="auto"/>
                <w:sz w:val="22"/>
                <w:szCs w:val="22"/>
                <w:highlight w:val="none"/>
              </w:rPr>
            </w:pPr>
          </w:p>
        </w:tc>
        <w:tc>
          <w:tcPr>
            <w:tcW w:w="1072" w:type="dxa"/>
            <w:noWrap w:val="0"/>
            <w:vAlign w:val="center"/>
          </w:tcPr>
          <w:p w14:paraId="287F53D7">
            <w:pPr>
              <w:jc w:val="center"/>
              <w:rPr>
                <w:rFonts w:hint="eastAsia" w:ascii="宋体" w:hAnsi="宋体" w:eastAsia="宋体" w:cs="宋体"/>
                <w:color w:val="auto"/>
                <w:sz w:val="22"/>
                <w:szCs w:val="22"/>
                <w:highlight w:val="none"/>
              </w:rPr>
            </w:pPr>
          </w:p>
        </w:tc>
        <w:tc>
          <w:tcPr>
            <w:tcW w:w="1612" w:type="dxa"/>
            <w:noWrap w:val="0"/>
            <w:vAlign w:val="center"/>
          </w:tcPr>
          <w:p w14:paraId="5DD6062D">
            <w:pPr>
              <w:jc w:val="center"/>
              <w:rPr>
                <w:rFonts w:hint="eastAsia" w:ascii="宋体" w:hAnsi="宋体" w:eastAsia="宋体" w:cs="宋体"/>
                <w:color w:val="auto"/>
                <w:sz w:val="22"/>
                <w:szCs w:val="22"/>
                <w:highlight w:val="none"/>
              </w:rPr>
            </w:pPr>
          </w:p>
        </w:tc>
        <w:tc>
          <w:tcPr>
            <w:tcW w:w="1255" w:type="dxa"/>
            <w:noWrap w:val="0"/>
            <w:vAlign w:val="center"/>
          </w:tcPr>
          <w:p w14:paraId="52B40C11">
            <w:pPr>
              <w:jc w:val="center"/>
              <w:rPr>
                <w:rFonts w:hint="eastAsia" w:ascii="宋体" w:hAnsi="宋体" w:eastAsia="宋体" w:cs="宋体"/>
                <w:color w:val="auto"/>
                <w:sz w:val="22"/>
                <w:szCs w:val="22"/>
                <w:highlight w:val="none"/>
              </w:rPr>
            </w:pPr>
          </w:p>
        </w:tc>
        <w:tc>
          <w:tcPr>
            <w:tcW w:w="1279" w:type="dxa"/>
            <w:noWrap w:val="0"/>
            <w:vAlign w:val="center"/>
          </w:tcPr>
          <w:p w14:paraId="3E8858F7">
            <w:pPr>
              <w:jc w:val="center"/>
              <w:rPr>
                <w:rFonts w:hint="eastAsia" w:ascii="宋体" w:hAnsi="宋体" w:eastAsia="宋体" w:cs="宋体"/>
                <w:color w:val="auto"/>
                <w:sz w:val="22"/>
                <w:szCs w:val="22"/>
                <w:highlight w:val="none"/>
              </w:rPr>
            </w:pPr>
          </w:p>
        </w:tc>
      </w:tr>
      <w:tr w14:paraId="0F1EE6A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73D9F7C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306" w:type="dxa"/>
            <w:noWrap w:val="0"/>
            <w:vAlign w:val="center"/>
          </w:tcPr>
          <w:p w14:paraId="146257F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培训（如有）</w:t>
            </w:r>
          </w:p>
        </w:tc>
        <w:tc>
          <w:tcPr>
            <w:tcW w:w="1791" w:type="dxa"/>
            <w:noWrap w:val="0"/>
            <w:vAlign w:val="center"/>
          </w:tcPr>
          <w:p w14:paraId="2A13D811">
            <w:pPr>
              <w:jc w:val="center"/>
              <w:rPr>
                <w:rFonts w:hint="eastAsia" w:ascii="宋体" w:hAnsi="宋体" w:eastAsia="宋体" w:cs="宋体"/>
                <w:color w:val="auto"/>
                <w:sz w:val="22"/>
                <w:szCs w:val="22"/>
                <w:highlight w:val="none"/>
              </w:rPr>
            </w:pPr>
          </w:p>
        </w:tc>
        <w:tc>
          <w:tcPr>
            <w:tcW w:w="1072" w:type="dxa"/>
            <w:noWrap w:val="0"/>
            <w:vAlign w:val="center"/>
          </w:tcPr>
          <w:p w14:paraId="6178F4A1">
            <w:pPr>
              <w:jc w:val="center"/>
              <w:rPr>
                <w:rFonts w:hint="eastAsia" w:ascii="宋体" w:hAnsi="宋体" w:eastAsia="宋体" w:cs="宋体"/>
                <w:color w:val="auto"/>
                <w:sz w:val="22"/>
                <w:szCs w:val="22"/>
                <w:highlight w:val="none"/>
              </w:rPr>
            </w:pPr>
          </w:p>
        </w:tc>
        <w:tc>
          <w:tcPr>
            <w:tcW w:w="1612" w:type="dxa"/>
            <w:noWrap w:val="0"/>
            <w:vAlign w:val="center"/>
          </w:tcPr>
          <w:p w14:paraId="22AF8357">
            <w:pPr>
              <w:jc w:val="center"/>
              <w:rPr>
                <w:rFonts w:hint="eastAsia" w:ascii="宋体" w:hAnsi="宋体" w:eastAsia="宋体" w:cs="宋体"/>
                <w:color w:val="auto"/>
                <w:sz w:val="22"/>
                <w:szCs w:val="22"/>
                <w:highlight w:val="none"/>
              </w:rPr>
            </w:pPr>
          </w:p>
        </w:tc>
        <w:tc>
          <w:tcPr>
            <w:tcW w:w="1255" w:type="dxa"/>
            <w:noWrap w:val="0"/>
            <w:vAlign w:val="center"/>
          </w:tcPr>
          <w:p w14:paraId="75588092">
            <w:pPr>
              <w:jc w:val="center"/>
              <w:rPr>
                <w:rFonts w:hint="eastAsia" w:ascii="宋体" w:hAnsi="宋体" w:eastAsia="宋体" w:cs="宋体"/>
                <w:color w:val="auto"/>
                <w:sz w:val="22"/>
                <w:szCs w:val="22"/>
                <w:highlight w:val="none"/>
              </w:rPr>
            </w:pPr>
          </w:p>
        </w:tc>
        <w:tc>
          <w:tcPr>
            <w:tcW w:w="1279" w:type="dxa"/>
            <w:noWrap w:val="0"/>
            <w:vAlign w:val="center"/>
          </w:tcPr>
          <w:p w14:paraId="41E21A22">
            <w:pPr>
              <w:jc w:val="center"/>
              <w:rPr>
                <w:rFonts w:hint="eastAsia" w:ascii="宋体" w:hAnsi="宋体" w:eastAsia="宋体" w:cs="宋体"/>
                <w:color w:val="auto"/>
                <w:sz w:val="22"/>
                <w:szCs w:val="22"/>
                <w:highlight w:val="none"/>
              </w:rPr>
            </w:pPr>
          </w:p>
        </w:tc>
      </w:tr>
      <w:tr w14:paraId="5CD46AE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71EE134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306" w:type="dxa"/>
            <w:noWrap w:val="0"/>
            <w:vAlign w:val="center"/>
          </w:tcPr>
          <w:p w14:paraId="0ACE4CF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技术服务</w:t>
            </w:r>
          </w:p>
        </w:tc>
        <w:tc>
          <w:tcPr>
            <w:tcW w:w="1791" w:type="dxa"/>
            <w:noWrap w:val="0"/>
            <w:vAlign w:val="center"/>
          </w:tcPr>
          <w:p w14:paraId="72F37C56">
            <w:pPr>
              <w:jc w:val="center"/>
              <w:rPr>
                <w:rFonts w:hint="eastAsia" w:ascii="宋体" w:hAnsi="宋体" w:eastAsia="宋体" w:cs="宋体"/>
                <w:color w:val="auto"/>
                <w:sz w:val="22"/>
                <w:szCs w:val="22"/>
                <w:highlight w:val="none"/>
              </w:rPr>
            </w:pPr>
          </w:p>
        </w:tc>
        <w:tc>
          <w:tcPr>
            <w:tcW w:w="1072" w:type="dxa"/>
            <w:noWrap w:val="0"/>
            <w:vAlign w:val="center"/>
          </w:tcPr>
          <w:p w14:paraId="5E39E7A3">
            <w:pPr>
              <w:jc w:val="center"/>
              <w:rPr>
                <w:rFonts w:hint="eastAsia" w:ascii="宋体" w:hAnsi="宋体" w:eastAsia="宋体" w:cs="宋体"/>
                <w:color w:val="auto"/>
                <w:sz w:val="22"/>
                <w:szCs w:val="22"/>
                <w:highlight w:val="none"/>
              </w:rPr>
            </w:pPr>
          </w:p>
        </w:tc>
        <w:tc>
          <w:tcPr>
            <w:tcW w:w="1612" w:type="dxa"/>
            <w:noWrap w:val="0"/>
            <w:vAlign w:val="center"/>
          </w:tcPr>
          <w:p w14:paraId="6FF9EB6C">
            <w:pPr>
              <w:jc w:val="center"/>
              <w:rPr>
                <w:rFonts w:hint="eastAsia" w:ascii="宋体" w:hAnsi="宋体" w:eastAsia="宋体" w:cs="宋体"/>
                <w:color w:val="auto"/>
                <w:sz w:val="22"/>
                <w:szCs w:val="22"/>
                <w:highlight w:val="none"/>
              </w:rPr>
            </w:pPr>
          </w:p>
        </w:tc>
        <w:tc>
          <w:tcPr>
            <w:tcW w:w="1255" w:type="dxa"/>
            <w:noWrap w:val="0"/>
            <w:vAlign w:val="center"/>
          </w:tcPr>
          <w:p w14:paraId="136A76CD">
            <w:pPr>
              <w:jc w:val="center"/>
              <w:rPr>
                <w:rFonts w:hint="eastAsia" w:ascii="宋体" w:hAnsi="宋体" w:eastAsia="宋体" w:cs="宋体"/>
                <w:color w:val="auto"/>
                <w:sz w:val="22"/>
                <w:szCs w:val="22"/>
                <w:highlight w:val="none"/>
              </w:rPr>
            </w:pPr>
          </w:p>
        </w:tc>
        <w:tc>
          <w:tcPr>
            <w:tcW w:w="1279" w:type="dxa"/>
            <w:noWrap w:val="0"/>
            <w:vAlign w:val="center"/>
          </w:tcPr>
          <w:p w14:paraId="5F242166">
            <w:pPr>
              <w:jc w:val="center"/>
              <w:rPr>
                <w:rFonts w:hint="eastAsia" w:ascii="宋体" w:hAnsi="宋体" w:eastAsia="宋体" w:cs="宋体"/>
                <w:color w:val="auto"/>
                <w:sz w:val="22"/>
                <w:szCs w:val="22"/>
                <w:highlight w:val="none"/>
              </w:rPr>
            </w:pPr>
          </w:p>
        </w:tc>
      </w:tr>
      <w:tr w14:paraId="0D54278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692D5D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306" w:type="dxa"/>
            <w:noWrap w:val="0"/>
            <w:vAlign w:val="center"/>
          </w:tcPr>
          <w:p w14:paraId="2A8D61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税金</w:t>
            </w:r>
          </w:p>
        </w:tc>
        <w:tc>
          <w:tcPr>
            <w:tcW w:w="1791" w:type="dxa"/>
            <w:noWrap w:val="0"/>
            <w:vAlign w:val="center"/>
          </w:tcPr>
          <w:p w14:paraId="43E64E00">
            <w:pPr>
              <w:jc w:val="center"/>
              <w:rPr>
                <w:rFonts w:hint="eastAsia" w:ascii="宋体" w:hAnsi="宋体" w:eastAsia="宋体" w:cs="宋体"/>
                <w:color w:val="auto"/>
                <w:sz w:val="22"/>
                <w:szCs w:val="22"/>
                <w:highlight w:val="none"/>
              </w:rPr>
            </w:pPr>
          </w:p>
        </w:tc>
        <w:tc>
          <w:tcPr>
            <w:tcW w:w="1072" w:type="dxa"/>
            <w:noWrap w:val="0"/>
            <w:vAlign w:val="center"/>
          </w:tcPr>
          <w:p w14:paraId="33BE7369">
            <w:pPr>
              <w:jc w:val="center"/>
              <w:rPr>
                <w:rFonts w:hint="eastAsia" w:ascii="宋体" w:hAnsi="宋体" w:eastAsia="宋体" w:cs="宋体"/>
                <w:color w:val="auto"/>
                <w:sz w:val="22"/>
                <w:szCs w:val="22"/>
                <w:highlight w:val="none"/>
              </w:rPr>
            </w:pPr>
          </w:p>
        </w:tc>
        <w:tc>
          <w:tcPr>
            <w:tcW w:w="1612" w:type="dxa"/>
            <w:noWrap w:val="0"/>
            <w:vAlign w:val="center"/>
          </w:tcPr>
          <w:p w14:paraId="0760A1C7">
            <w:pPr>
              <w:jc w:val="center"/>
              <w:rPr>
                <w:rFonts w:hint="eastAsia" w:ascii="宋体" w:hAnsi="宋体" w:eastAsia="宋体" w:cs="宋体"/>
                <w:color w:val="auto"/>
                <w:sz w:val="22"/>
                <w:szCs w:val="22"/>
                <w:highlight w:val="none"/>
              </w:rPr>
            </w:pPr>
          </w:p>
        </w:tc>
        <w:tc>
          <w:tcPr>
            <w:tcW w:w="1255" w:type="dxa"/>
            <w:noWrap w:val="0"/>
            <w:vAlign w:val="center"/>
          </w:tcPr>
          <w:p w14:paraId="36D5E065">
            <w:pPr>
              <w:jc w:val="center"/>
              <w:rPr>
                <w:rFonts w:hint="eastAsia" w:ascii="宋体" w:hAnsi="宋体" w:eastAsia="宋体" w:cs="宋体"/>
                <w:color w:val="auto"/>
                <w:sz w:val="22"/>
                <w:szCs w:val="22"/>
                <w:highlight w:val="none"/>
              </w:rPr>
            </w:pPr>
          </w:p>
        </w:tc>
        <w:tc>
          <w:tcPr>
            <w:tcW w:w="1279" w:type="dxa"/>
            <w:noWrap w:val="0"/>
            <w:vAlign w:val="center"/>
          </w:tcPr>
          <w:p w14:paraId="4B87311C">
            <w:pPr>
              <w:jc w:val="center"/>
              <w:rPr>
                <w:rFonts w:hint="eastAsia" w:ascii="宋体" w:hAnsi="宋体" w:eastAsia="宋体" w:cs="宋体"/>
                <w:color w:val="auto"/>
                <w:sz w:val="22"/>
                <w:szCs w:val="22"/>
                <w:highlight w:val="none"/>
              </w:rPr>
            </w:pPr>
          </w:p>
        </w:tc>
      </w:tr>
      <w:tr w14:paraId="694807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5F3A13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306" w:type="dxa"/>
            <w:noWrap w:val="0"/>
            <w:vAlign w:val="center"/>
          </w:tcPr>
          <w:p w14:paraId="61D838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91" w:type="dxa"/>
            <w:noWrap w:val="0"/>
            <w:vAlign w:val="center"/>
          </w:tcPr>
          <w:p w14:paraId="43445549">
            <w:pPr>
              <w:jc w:val="center"/>
              <w:rPr>
                <w:rFonts w:hint="eastAsia" w:ascii="宋体" w:hAnsi="宋体" w:eastAsia="宋体" w:cs="宋体"/>
                <w:color w:val="auto"/>
                <w:sz w:val="22"/>
                <w:szCs w:val="22"/>
                <w:highlight w:val="none"/>
              </w:rPr>
            </w:pPr>
          </w:p>
        </w:tc>
        <w:tc>
          <w:tcPr>
            <w:tcW w:w="1072" w:type="dxa"/>
            <w:noWrap w:val="0"/>
            <w:vAlign w:val="center"/>
          </w:tcPr>
          <w:p w14:paraId="3FBBF47C">
            <w:pPr>
              <w:jc w:val="center"/>
              <w:rPr>
                <w:rFonts w:hint="eastAsia" w:ascii="宋体" w:hAnsi="宋体" w:eastAsia="宋体" w:cs="宋体"/>
                <w:color w:val="auto"/>
                <w:sz w:val="22"/>
                <w:szCs w:val="22"/>
                <w:highlight w:val="none"/>
              </w:rPr>
            </w:pPr>
          </w:p>
        </w:tc>
        <w:tc>
          <w:tcPr>
            <w:tcW w:w="1612" w:type="dxa"/>
            <w:noWrap w:val="0"/>
            <w:vAlign w:val="center"/>
          </w:tcPr>
          <w:p w14:paraId="35B0BF24">
            <w:pPr>
              <w:jc w:val="center"/>
              <w:rPr>
                <w:rFonts w:hint="eastAsia" w:ascii="宋体" w:hAnsi="宋体" w:eastAsia="宋体" w:cs="宋体"/>
                <w:color w:val="auto"/>
                <w:sz w:val="22"/>
                <w:szCs w:val="22"/>
                <w:highlight w:val="none"/>
              </w:rPr>
            </w:pPr>
          </w:p>
        </w:tc>
        <w:tc>
          <w:tcPr>
            <w:tcW w:w="1255" w:type="dxa"/>
            <w:noWrap w:val="0"/>
            <w:vAlign w:val="center"/>
          </w:tcPr>
          <w:p w14:paraId="38F4C96E">
            <w:pPr>
              <w:jc w:val="center"/>
              <w:rPr>
                <w:rFonts w:hint="eastAsia" w:ascii="宋体" w:hAnsi="宋体" w:eastAsia="宋体" w:cs="宋体"/>
                <w:color w:val="auto"/>
                <w:sz w:val="22"/>
                <w:szCs w:val="22"/>
                <w:highlight w:val="none"/>
              </w:rPr>
            </w:pPr>
          </w:p>
        </w:tc>
        <w:tc>
          <w:tcPr>
            <w:tcW w:w="1279" w:type="dxa"/>
            <w:noWrap w:val="0"/>
            <w:vAlign w:val="center"/>
          </w:tcPr>
          <w:p w14:paraId="2DAA3C13">
            <w:pPr>
              <w:jc w:val="center"/>
              <w:rPr>
                <w:rFonts w:hint="eastAsia" w:ascii="宋体" w:hAnsi="宋体" w:eastAsia="宋体" w:cs="宋体"/>
                <w:color w:val="auto"/>
                <w:sz w:val="22"/>
                <w:szCs w:val="22"/>
                <w:highlight w:val="none"/>
              </w:rPr>
            </w:pPr>
          </w:p>
        </w:tc>
      </w:tr>
      <w:tr w14:paraId="27D613B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575" w:type="dxa"/>
            <w:gridSpan w:val="6"/>
            <w:noWrap w:val="0"/>
            <w:vAlign w:val="center"/>
          </w:tcPr>
          <w:p w14:paraId="0F6C14B6">
            <w:pPr>
              <w:ind w:right="125"/>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投标总价【</w:t>
            </w:r>
            <w:r>
              <w:rPr>
                <w:rFonts w:hint="eastAsia" w:ascii="宋体" w:hAnsi="宋体" w:eastAsia="宋体" w:cs="宋体"/>
                <w:color w:val="auto"/>
                <w:sz w:val="22"/>
                <w:szCs w:val="22"/>
                <w:highlight w:val="none"/>
              </w:rPr>
              <w:t>需与开标一览表中相一致</w:t>
            </w:r>
            <w:r>
              <w:rPr>
                <w:rFonts w:hint="eastAsia" w:ascii="宋体" w:hAnsi="宋体" w:eastAsia="宋体" w:cs="宋体"/>
                <w:b/>
                <w:color w:val="auto"/>
                <w:sz w:val="22"/>
                <w:szCs w:val="22"/>
                <w:highlight w:val="none"/>
              </w:rPr>
              <w:t>】</w:t>
            </w:r>
          </w:p>
        </w:tc>
        <w:tc>
          <w:tcPr>
            <w:tcW w:w="1279" w:type="dxa"/>
            <w:noWrap w:val="0"/>
            <w:vAlign w:val="top"/>
          </w:tcPr>
          <w:p w14:paraId="1A2AB030">
            <w:pPr>
              <w:rPr>
                <w:rFonts w:hint="eastAsia" w:ascii="宋体" w:hAnsi="宋体" w:eastAsia="宋体" w:cs="宋体"/>
                <w:b/>
                <w:color w:val="auto"/>
                <w:sz w:val="22"/>
                <w:szCs w:val="22"/>
                <w:highlight w:val="none"/>
              </w:rPr>
            </w:pPr>
          </w:p>
        </w:tc>
      </w:tr>
    </w:tbl>
    <w:p w14:paraId="446CC3C0">
      <w:pPr>
        <w:spacing w:line="360" w:lineRule="exact"/>
        <w:rPr>
          <w:rFonts w:hint="eastAsia" w:ascii="宋体" w:hAnsi="宋体" w:cs="宋体"/>
          <w:b/>
          <w:color w:val="auto"/>
          <w:sz w:val="22"/>
          <w:szCs w:val="22"/>
          <w:highlight w:val="none"/>
        </w:rPr>
      </w:pPr>
      <w:r>
        <w:rPr>
          <w:rFonts w:hint="eastAsia" w:ascii="宋体" w:hAnsi="宋体" w:cs="宋体"/>
          <w:b/>
          <w:bCs/>
          <w:color w:val="auto"/>
          <w:sz w:val="22"/>
          <w:szCs w:val="22"/>
          <w:highlight w:val="none"/>
        </w:rPr>
        <w:t>说明：</w:t>
      </w:r>
      <w:r>
        <w:rPr>
          <w:rFonts w:hint="eastAsia" w:ascii="宋体" w:hAnsi="宋体" w:cs="宋体"/>
          <w:b/>
          <w:color w:val="auto"/>
          <w:sz w:val="22"/>
          <w:szCs w:val="22"/>
          <w:highlight w:val="none"/>
        </w:rPr>
        <w:t>1、此表内投标总价应与“开标一览表”投标报价相一致。</w:t>
      </w:r>
    </w:p>
    <w:p w14:paraId="00616B41">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r>
        <w:rPr>
          <w:rFonts w:hint="eastAsia" w:ascii="宋体" w:hAnsi="宋体" w:cs="宋体"/>
          <w:b/>
          <w:bCs/>
          <w:color w:val="auto"/>
          <w:sz w:val="22"/>
          <w:szCs w:val="22"/>
          <w:highlight w:val="none"/>
        </w:rPr>
        <w:t>▲</w:t>
      </w:r>
      <w:r>
        <w:rPr>
          <w:rFonts w:hint="eastAsia" w:ascii="宋体" w:hAnsi="宋体" w:cs="宋体"/>
          <w:b/>
          <w:color w:val="auto"/>
          <w:sz w:val="22"/>
          <w:szCs w:val="22"/>
          <w:highlight w:val="none"/>
          <w:u w:val="single"/>
        </w:rPr>
        <w:t>不提供“投标分项报价表”的报价，视为没有实质性响应采购文件要求。</w:t>
      </w:r>
    </w:p>
    <w:p w14:paraId="00A73732">
      <w:pPr>
        <w:adjustRightInd w:val="0"/>
        <w:spacing w:line="360" w:lineRule="auto"/>
        <w:jc w:val="left"/>
        <w:rPr>
          <w:rFonts w:hint="eastAsia" w:ascii="宋体" w:hAnsi="宋体" w:cs="宋体"/>
          <w:color w:val="auto"/>
          <w:sz w:val="22"/>
          <w:szCs w:val="22"/>
          <w:highlight w:val="none"/>
        </w:rPr>
      </w:pPr>
    </w:p>
    <w:p w14:paraId="6676F5EC">
      <w:pPr>
        <w:spacing w:line="440" w:lineRule="exact"/>
        <w:rPr>
          <w:rFonts w:hint="eastAsia" w:ascii="宋体" w:hAnsi="宋体" w:cs="宋体"/>
          <w:color w:val="auto"/>
          <w:sz w:val="22"/>
          <w:szCs w:val="22"/>
          <w:highlight w:val="none"/>
        </w:rPr>
      </w:pPr>
    </w:p>
    <w:p w14:paraId="4C756140">
      <w:pPr>
        <w:spacing w:line="380" w:lineRule="exact"/>
        <w:rPr>
          <w:rFonts w:ascii="宋体" w:hAnsi="宋体"/>
          <w:color w:val="auto"/>
          <w:sz w:val="22"/>
          <w:szCs w:val="22"/>
          <w:highlight w:val="none"/>
        </w:rPr>
      </w:pPr>
      <w:r>
        <w:rPr>
          <w:rFonts w:hint="eastAsia" w:ascii="宋体" w:hAnsi="宋体"/>
          <w:color w:val="auto"/>
          <w:sz w:val="22"/>
          <w:szCs w:val="22"/>
          <w:highlight w:val="none"/>
        </w:rPr>
        <w:t>投标人全称（盖章）：</w:t>
      </w:r>
    </w:p>
    <w:p w14:paraId="5532C8C2">
      <w:pPr>
        <w:spacing w:line="380" w:lineRule="exact"/>
        <w:rPr>
          <w:rFonts w:ascii="宋体" w:hAnsi="宋体"/>
          <w:color w:val="auto"/>
          <w:sz w:val="22"/>
          <w:szCs w:val="22"/>
          <w:highlight w:val="none"/>
        </w:rPr>
      </w:pPr>
      <w:r>
        <w:rPr>
          <w:rFonts w:hint="eastAsia" w:ascii="宋体" w:hAnsi="宋体"/>
          <w:color w:val="auto"/>
          <w:sz w:val="22"/>
          <w:szCs w:val="22"/>
          <w:highlight w:val="none"/>
        </w:rPr>
        <w:t>法定代表人</w:t>
      </w:r>
      <w:r>
        <w:rPr>
          <w:rFonts w:hint="eastAsia" w:ascii="宋体" w:hAnsi="宋体" w:cs="宋体"/>
          <w:color w:val="auto"/>
          <w:sz w:val="22"/>
          <w:szCs w:val="22"/>
          <w:highlight w:val="none"/>
        </w:rPr>
        <w:t>（负责人）</w:t>
      </w:r>
      <w:r>
        <w:rPr>
          <w:rFonts w:hint="eastAsia" w:ascii="宋体" w:hAnsi="宋体"/>
          <w:color w:val="auto"/>
          <w:sz w:val="22"/>
          <w:szCs w:val="22"/>
          <w:highlight w:val="none"/>
        </w:rPr>
        <w:t>或授权代表（签字或盖章）：</w:t>
      </w:r>
    </w:p>
    <w:p w14:paraId="0857AC3A">
      <w:pPr>
        <w:spacing w:line="380" w:lineRule="exact"/>
        <w:rPr>
          <w:rFonts w:ascii="宋体" w:hAnsi="宋体"/>
          <w:color w:val="auto"/>
          <w:sz w:val="22"/>
          <w:szCs w:val="22"/>
          <w:highlight w:val="none"/>
        </w:rPr>
      </w:pPr>
      <w:r>
        <w:rPr>
          <w:rFonts w:hint="eastAsia" w:ascii="宋体" w:hAnsi="宋体"/>
          <w:color w:val="auto"/>
          <w:sz w:val="22"/>
          <w:szCs w:val="22"/>
          <w:highlight w:val="none"/>
        </w:rPr>
        <w:t>日 期：  年  月  日</w:t>
      </w:r>
    </w:p>
    <w:p w14:paraId="7F568F2E">
      <w:pPr>
        <w:pStyle w:val="17"/>
        <w:ind w:firstLine="210"/>
        <w:rPr>
          <w:rFonts w:hint="eastAsia" w:ascii="宋体" w:hAnsi="宋体" w:cs="宋体"/>
          <w:color w:val="auto"/>
          <w:highlight w:val="none"/>
        </w:rPr>
      </w:pPr>
    </w:p>
    <w:p w14:paraId="2550166C">
      <w:pPr>
        <w:pStyle w:val="17"/>
        <w:ind w:firstLine="0" w:firstLineChars="0"/>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2"/>
          <w:szCs w:val="22"/>
          <w:highlight w:val="none"/>
        </w:rPr>
        <w:t>附件三</w:t>
      </w:r>
    </w:p>
    <w:p w14:paraId="002A41C4">
      <w:pPr>
        <w:spacing w:line="4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41F67C7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温州交运集团汽车服务有限公司：</w:t>
      </w:r>
    </w:p>
    <w:p w14:paraId="155A02B8">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浙江恒杰工程管理有限公司</w:t>
      </w:r>
      <w:r>
        <w:rPr>
          <w:rFonts w:hint="eastAsia" w:ascii="宋体" w:hAnsi="宋体" w:cs="宋体"/>
          <w:color w:val="auto"/>
          <w:sz w:val="22"/>
          <w:szCs w:val="22"/>
          <w:highlight w:val="none"/>
        </w:rPr>
        <w:t>：</w:t>
      </w:r>
    </w:p>
    <w:p w14:paraId="64B8AEE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根据贵单位为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项目（采购编号：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0846D341">
      <w:pPr>
        <w:pStyle w:val="10"/>
        <w:spacing w:line="420" w:lineRule="exact"/>
        <w:ind w:firstLine="440"/>
        <w:rPr>
          <w:rFonts w:hint="eastAsia" w:ascii="宋体" w:hAnsi="宋体" w:cs="宋体"/>
          <w:color w:val="auto"/>
          <w:sz w:val="22"/>
          <w:highlight w:val="none"/>
        </w:rPr>
      </w:pPr>
      <w:r>
        <w:rPr>
          <w:rFonts w:hint="eastAsia" w:ascii="宋体" w:hAnsi="宋体" w:cs="宋体"/>
          <w:color w:val="auto"/>
          <w:sz w:val="22"/>
          <w:szCs w:val="22"/>
          <w:highlight w:val="none"/>
        </w:rPr>
        <w:t>在此提交的投标文件中，包括如下内</w:t>
      </w:r>
      <w:r>
        <w:rPr>
          <w:rFonts w:hint="eastAsia" w:ascii="宋体" w:hAnsi="宋体" w:cs="宋体"/>
          <w:color w:val="auto"/>
          <w:sz w:val="22"/>
          <w:highlight w:val="none"/>
        </w:rPr>
        <w:t>容：</w:t>
      </w:r>
    </w:p>
    <w:p w14:paraId="778BCE46">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1、按“投标人须知”要求编制的投标文件资格文件【正本一份，副本</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份】；</w:t>
      </w:r>
    </w:p>
    <w:p w14:paraId="764B9278">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2、按“投标人须知”要求编制的投标文件商务技术文件【正本一份，副本</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份】；</w:t>
      </w:r>
    </w:p>
    <w:p w14:paraId="4BFA798A">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3、按“投标人须知”要求编制的投标文件报价文件【正本一份，副本</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份】；</w:t>
      </w:r>
    </w:p>
    <w:p w14:paraId="48239488">
      <w:pPr>
        <w:spacing w:line="360" w:lineRule="exact"/>
        <w:ind w:firstLine="550" w:firstLineChars="250"/>
        <w:rPr>
          <w:rFonts w:hint="eastAsia"/>
          <w:color w:val="auto"/>
          <w:highlight w:val="none"/>
        </w:rPr>
      </w:pPr>
      <w:r>
        <w:rPr>
          <w:rFonts w:hint="eastAsia" w:ascii="宋体" w:hAnsi="宋体" w:cs="hakuyoxingshu7000"/>
          <w:color w:val="auto"/>
          <w:sz w:val="22"/>
          <w:highlight w:val="none"/>
        </w:rPr>
        <w:t>4、按“投标人须知”要求编制的投标文件电子投标文件</w:t>
      </w:r>
      <w:r>
        <w:rPr>
          <w:rFonts w:hint="eastAsia" w:ascii="宋体" w:hAnsi="宋体"/>
          <w:color w:val="auto"/>
          <w:sz w:val="22"/>
          <w:highlight w:val="none"/>
        </w:rPr>
        <w:t>【U盘一份】</w:t>
      </w:r>
      <w:r>
        <w:rPr>
          <w:rFonts w:hint="eastAsia" w:ascii="宋体" w:hAnsi="宋体" w:cs="hakuyoxingshu7000"/>
          <w:color w:val="auto"/>
          <w:sz w:val="22"/>
          <w:highlight w:val="none"/>
        </w:rPr>
        <w:t>；</w:t>
      </w:r>
    </w:p>
    <w:p w14:paraId="6A624411">
      <w:pPr>
        <w:spacing w:line="42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我方己完全明白采购文件的所有条款要求，并重申以下几点：</w:t>
      </w:r>
    </w:p>
    <w:p w14:paraId="544D1D3A">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（一）本投标文件的有效期自投标截止日起</w:t>
      </w:r>
      <w:r>
        <w:rPr>
          <w:rFonts w:hint="eastAsia" w:ascii="宋体" w:hAnsi="宋体" w:cs="宋体"/>
          <w:b/>
          <w:color w:val="auto"/>
          <w:sz w:val="22"/>
          <w:highlight w:val="none"/>
        </w:rPr>
        <w:t xml:space="preserve"> </w:t>
      </w:r>
      <w:r>
        <w:rPr>
          <w:rFonts w:hint="eastAsia" w:ascii="宋体" w:hAnsi="宋体" w:cs="宋体"/>
          <w:b/>
          <w:color w:val="auto"/>
          <w:sz w:val="22"/>
          <w:highlight w:val="none"/>
          <w:u w:val="single"/>
        </w:rPr>
        <w:t xml:space="preserve"> 90 </w:t>
      </w:r>
      <w:r>
        <w:rPr>
          <w:rFonts w:hint="eastAsia" w:ascii="宋体" w:hAnsi="宋体" w:cs="宋体"/>
          <w:b/>
          <w:color w:val="auto"/>
          <w:sz w:val="22"/>
          <w:highlight w:val="none"/>
        </w:rPr>
        <w:t>天内</w:t>
      </w:r>
      <w:r>
        <w:rPr>
          <w:rFonts w:hint="eastAsia" w:ascii="宋体" w:hAnsi="宋体" w:cs="宋体"/>
          <w:color w:val="auto"/>
          <w:sz w:val="22"/>
          <w:highlight w:val="none"/>
        </w:rPr>
        <w:t>有效，如中标，有效期将延至合同终止日为止；</w:t>
      </w:r>
    </w:p>
    <w:p w14:paraId="62F4B339">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（二）我方已详细研究了采购文件的所有内容包括修改书（如有）和所有已提供的参考资料以及有关附件，我方完全理解并同意放弃在此方面提出含糊意见或误解的一切权力；</w:t>
      </w:r>
    </w:p>
    <w:p w14:paraId="65FF9116">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（三）我方同意提供按照贵方可能要求的与投标有关的一切数据或资料；</w:t>
      </w:r>
    </w:p>
    <w:p w14:paraId="4BC1C782">
      <w:pPr>
        <w:spacing w:line="420" w:lineRule="exact"/>
        <w:ind w:left="359" w:leftChars="171"/>
        <w:rPr>
          <w:rFonts w:hint="eastAsia" w:ascii="宋体" w:hAnsi="宋体" w:cs="宋体"/>
          <w:color w:val="auto"/>
          <w:sz w:val="22"/>
          <w:highlight w:val="none"/>
        </w:rPr>
      </w:pPr>
      <w:r>
        <w:rPr>
          <w:rFonts w:hint="eastAsia" w:ascii="宋体" w:hAnsi="宋体" w:cs="宋体"/>
          <w:color w:val="auto"/>
          <w:sz w:val="22"/>
          <w:highlight w:val="none"/>
        </w:rPr>
        <w:t>（四）我方理解贵方不一定接受最低报价。</w:t>
      </w:r>
    </w:p>
    <w:p w14:paraId="5BDB3C53">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（五）我方如果中标，将保证履行采购文件以及采购文件修改书（如有）中的全部责任和义务，按质、按量、按期完成《协议书》中的全部任务。</w:t>
      </w:r>
    </w:p>
    <w:p w14:paraId="5F38B04E">
      <w:pPr>
        <w:spacing w:line="420" w:lineRule="exact"/>
        <w:ind w:left="315"/>
        <w:rPr>
          <w:rFonts w:hint="eastAsia" w:ascii="宋体" w:hAnsi="宋体" w:cs="宋体"/>
          <w:color w:val="auto"/>
          <w:sz w:val="22"/>
          <w:szCs w:val="22"/>
          <w:highlight w:val="none"/>
        </w:rPr>
      </w:pPr>
      <w:r>
        <w:rPr>
          <w:rFonts w:hint="eastAsia" w:ascii="宋体" w:hAnsi="宋体" w:cs="宋体"/>
          <w:color w:val="auto"/>
          <w:sz w:val="22"/>
          <w:highlight w:val="none"/>
        </w:rPr>
        <w:t>（六）所有与本投标有关的函件请发往下列地址：</w:t>
      </w:r>
    </w:p>
    <w:p w14:paraId="500D2328">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50BE4F29">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533ECD47">
      <w:pPr>
        <w:spacing w:line="420" w:lineRule="exact"/>
        <w:ind w:firstLine="435"/>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395115B0">
      <w:pPr>
        <w:spacing w:line="420" w:lineRule="exact"/>
        <w:ind w:firstLine="770" w:firstLineChars="35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345CD720">
      <w:pPr>
        <w:spacing w:line="420" w:lineRule="exact"/>
        <w:ind w:firstLine="435"/>
        <w:rPr>
          <w:rFonts w:hint="eastAsia" w:ascii="宋体" w:hAnsi="宋体" w:cs="宋体"/>
          <w:color w:val="auto"/>
          <w:sz w:val="22"/>
          <w:szCs w:val="22"/>
          <w:highlight w:val="none"/>
        </w:rPr>
      </w:pPr>
    </w:p>
    <w:p w14:paraId="754538CB">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r>
        <w:rPr>
          <w:rFonts w:hint="eastAsia" w:ascii="宋体" w:hAnsi="宋体" w:cs="宋体"/>
          <w:color w:val="auto"/>
          <w:sz w:val="22"/>
          <w:szCs w:val="22"/>
          <w:highlight w:val="none"/>
          <w:u w:val="single"/>
        </w:rPr>
        <w:t xml:space="preserve">                  </w:t>
      </w:r>
    </w:p>
    <w:p w14:paraId="18A40FED">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法定代表人（负责人）或授权代表（签字或盖章）</w:t>
      </w:r>
      <w:r>
        <w:rPr>
          <w:rFonts w:hint="eastAsia" w:ascii="宋体" w:hAnsi="宋体" w:cs="宋体"/>
          <w:color w:val="auto"/>
          <w:sz w:val="22"/>
          <w:szCs w:val="22"/>
          <w:highlight w:val="none"/>
          <w:u w:val="single"/>
        </w:rPr>
        <w:t xml:space="preserve">                   </w:t>
      </w:r>
    </w:p>
    <w:p w14:paraId="5D8FAC6F">
      <w:pPr>
        <w:spacing w:line="460" w:lineRule="exact"/>
        <w:ind w:firstLine="435"/>
        <w:rPr>
          <w:rFonts w:hint="eastAsia" w:ascii="宋体" w:hAnsi="宋体" w:cs="宋体"/>
          <w:b/>
          <w:bCs/>
          <w:color w:val="auto"/>
          <w:sz w:val="22"/>
          <w:szCs w:val="22"/>
          <w:highlight w:val="none"/>
        </w:rPr>
      </w:pPr>
      <w:r>
        <w:rPr>
          <w:rFonts w:hint="eastAsia" w:ascii="宋体" w:hAnsi="宋体" w:cs="宋体"/>
          <w:color w:val="auto"/>
          <w:sz w:val="22"/>
          <w:szCs w:val="22"/>
          <w:highlight w:val="none"/>
        </w:rPr>
        <w:t xml:space="preserve">                                   日期：    年    月   日</w:t>
      </w: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附件四</w:t>
      </w:r>
    </w:p>
    <w:p w14:paraId="5C08C4CE">
      <w:pPr>
        <w:spacing w:line="460" w:lineRule="exact"/>
        <w:ind w:firstLine="437"/>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技术规格、商务条款偏离表</w:t>
      </w:r>
    </w:p>
    <w:p w14:paraId="44A3F5A5">
      <w:pPr>
        <w:spacing w:line="460" w:lineRule="exact"/>
        <w:rPr>
          <w:rFonts w:hint="eastAsia" w:ascii="宋体" w:hAnsi="宋体" w:cs="宋体"/>
          <w:b/>
          <w:bCs/>
          <w:color w:val="auto"/>
          <w:sz w:val="22"/>
          <w:szCs w:val="22"/>
          <w:highlight w:val="none"/>
        </w:rPr>
      </w:pPr>
      <w:r>
        <w:rPr>
          <w:rFonts w:hint="eastAsia" w:ascii="宋体" w:hAnsi="宋体" w:cs="宋体"/>
          <w:b/>
          <w:color w:val="auto"/>
          <w:sz w:val="22"/>
          <w:szCs w:val="22"/>
          <w:highlight w:val="none"/>
        </w:rPr>
        <w:t>采购项目：                                          采购编号：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05F1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08906071">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74650CDF">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97" w:type="dxa"/>
            <w:noWrap w:val="0"/>
            <w:vAlign w:val="center"/>
          </w:tcPr>
          <w:p w14:paraId="33FC0B3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3FE17AEB">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条目号</w:t>
            </w:r>
          </w:p>
        </w:tc>
        <w:tc>
          <w:tcPr>
            <w:tcW w:w="1992" w:type="dxa"/>
            <w:noWrap w:val="0"/>
            <w:vAlign w:val="center"/>
          </w:tcPr>
          <w:p w14:paraId="705A47F8">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03A03DC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规范要求</w:t>
            </w:r>
          </w:p>
        </w:tc>
        <w:tc>
          <w:tcPr>
            <w:tcW w:w="1866" w:type="dxa"/>
            <w:noWrap w:val="0"/>
            <w:vAlign w:val="center"/>
          </w:tcPr>
          <w:p w14:paraId="1DBA92B6">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46591FED">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对应规范</w:t>
            </w:r>
          </w:p>
        </w:tc>
        <w:tc>
          <w:tcPr>
            <w:tcW w:w="1592" w:type="dxa"/>
            <w:noWrap w:val="0"/>
            <w:vAlign w:val="center"/>
          </w:tcPr>
          <w:p w14:paraId="13992D23">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7D7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47724FC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w:t>
            </w:r>
          </w:p>
          <w:p w14:paraId="78EA0DE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术</w:t>
            </w:r>
          </w:p>
          <w:p w14:paraId="02CBB48C">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w:t>
            </w:r>
          </w:p>
          <w:p w14:paraId="371FB021">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格</w:t>
            </w:r>
          </w:p>
        </w:tc>
        <w:tc>
          <w:tcPr>
            <w:tcW w:w="1364" w:type="dxa"/>
            <w:noWrap w:val="0"/>
            <w:vAlign w:val="center"/>
          </w:tcPr>
          <w:p w14:paraId="75554437">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45996475">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3A569C4A">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1942197E">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17B646A6">
            <w:pPr>
              <w:spacing w:line="380" w:lineRule="exact"/>
              <w:jc w:val="center"/>
              <w:rPr>
                <w:rFonts w:hint="eastAsia" w:ascii="宋体" w:hAnsi="宋体" w:eastAsia="宋体" w:cs="宋体"/>
                <w:color w:val="auto"/>
                <w:sz w:val="22"/>
                <w:szCs w:val="22"/>
                <w:highlight w:val="none"/>
              </w:rPr>
            </w:pPr>
          </w:p>
        </w:tc>
      </w:tr>
      <w:tr w14:paraId="586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624752E">
            <w:pPr>
              <w:spacing w:line="380" w:lineRule="exact"/>
              <w:ind w:firstLine="220" w:firstLineChars="100"/>
              <w:rPr>
                <w:rFonts w:hint="eastAsia" w:ascii="宋体" w:hAnsi="宋体" w:eastAsia="宋体" w:cs="宋体"/>
                <w:color w:val="auto"/>
                <w:sz w:val="22"/>
                <w:szCs w:val="22"/>
                <w:highlight w:val="none"/>
              </w:rPr>
            </w:pPr>
          </w:p>
        </w:tc>
        <w:tc>
          <w:tcPr>
            <w:tcW w:w="1364" w:type="dxa"/>
            <w:noWrap w:val="0"/>
            <w:vAlign w:val="center"/>
          </w:tcPr>
          <w:p w14:paraId="2DD06BBD">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3B9FA73D">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668073BE">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D696010">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06EA6150">
            <w:pPr>
              <w:spacing w:line="380" w:lineRule="exact"/>
              <w:jc w:val="center"/>
              <w:rPr>
                <w:rFonts w:hint="eastAsia" w:ascii="宋体" w:hAnsi="宋体" w:eastAsia="宋体" w:cs="宋体"/>
                <w:color w:val="auto"/>
                <w:sz w:val="22"/>
                <w:szCs w:val="22"/>
                <w:highlight w:val="none"/>
              </w:rPr>
            </w:pPr>
          </w:p>
        </w:tc>
      </w:tr>
      <w:tr w14:paraId="685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14F89A8">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1352472A">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48CC699">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5F2C1CEB">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53D3750F">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6DA1F2DB">
            <w:pPr>
              <w:spacing w:line="380" w:lineRule="exact"/>
              <w:jc w:val="center"/>
              <w:rPr>
                <w:rFonts w:hint="eastAsia" w:ascii="宋体" w:hAnsi="宋体" w:eastAsia="宋体" w:cs="宋体"/>
                <w:color w:val="auto"/>
                <w:sz w:val="22"/>
                <w:szCs w:val="22"/>
                <w:highlight w:val="none"/>
              </w:rPr>
            </w:pPr>
          </w:p>
        </w:tc>
      </w:tr>
      <w:tr w14:paraId="2D98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147CB6E">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50ECC560">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34C97916">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57D545F6">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70439C7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70FC26FE">
            <w:pPr>
              <w:spacing w:line="380" w:lineRule="exact"/>
              <w:jc w:val="center"/>
              <w:rPr>
                <w:rFonts w:hint="eastAsia" w:ascii="宋体" w:hAnsi="宋体" w:eastAsia="宋体" w:cs="宋体"/>
                <w:color w:val="auto"/>
                <w:sz w:val="22"/>
                <w:szCs w:val="22"/>
                <w:highlight w:val="none"/>
              </w:rPr>
            </w:pPr>
          </w:p>
        </w:tc>
      </w:tr>
      <w:tr w14:paraId="6D2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F9A0505">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576818AA">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0962605E">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15C5CB2B">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C026015">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27F80DC1">
            <w:pPr>
              <w:spacing w:line="380" w:lineRule="exact"/>
              <w:jc w:val="center"/>
              <w:rPr>
                <w:rFonts w:hint="eastAsia" w:ascii="宋体" w:hAnsi="宋体" w:eastAsia="宋体" w:cs="宋体"/>
                <w:color w:val="auto"/>
                <w:sz w:val="22"/>
                <w:szCs w:val="22"/>
                <w:highlight w:val="none"/>
              </w:rPr>
            </w:pPr>
          </w:p>
        </w:tc>
      </w:tr>
      <w:tr w14:paraId="0F59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157173F8">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w:t>
            </w:r>
          </w:p>
          <w:p w14:paraId="7AE2D0F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务</w:t>
            </w:r>
          </w:p>
          <w:p w14:paraId="73BF018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p w14:paraId="3357A3F3">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w:t>
            </w:r>
          </w:p>
        </w:tc>
        <w:tc>
          <w:tcPr>
            <w:tcW w:w="1364" w:type="dxa"/>
            <w:noWrap w:val="0"/>
            <w:vAlign w:val="center"/>
          </w:tcPr>
          <w:p w14:paraId="7867A564">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37F53E4">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66B2235E">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D6DCBAE">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457A0C92">
            <w:pPr>
              <w:spacing w:line="380" w:lineRule="exact"/>
              <w:jc w:val="center"/>
              <w:rPr>
                <w:rFonts w:hint="eastAsia" w:ascii="宋体" w:hAnsi="宋体" w:eastAsia="宋体" w:cs="宋体"/>
                <w:color w:val="auto"/>
                <w:sz w:val="22"/>
                <w:szCs w:val="22"/>
                <w:highlight w:val="none"/>
              </w:rPr>
            </w:pPr>
          </w:p>
        </w:tc>
      </w:tr>
      <w:tr w14:paraId="4808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A59CCD5">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3FEAC35B">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551E391A">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40E5D82F">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2C54D5A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583DCDCC">
            <w:pPr>
              <w:spacing w:line="380" w:lineRule="exact"/>
              <w:jc w:val="center"/>
              <w:rPr>
                <w:rFonts w:hint="eastAsia" w:ascii="宋体" w:hAnsi="宋体" w:eastAsia="宋体" w:cs="宋体"/>
                <w:color w:val="auto"/>
                <w:sz w:val="22"/>
                <w:szCs w:val="22"/>
                <w:highlight w:val="none"/>
              </w:rPr>
            </w:pPr>
          </w:p>
        </w:tc>
      </w:tr>
      <w:tr w14:paraId="2C4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15CB3567">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69BE45B3">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756D5A22">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0C6B6B59">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76601F7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09FD3CA7">
            <w:pPr>
              <w:spacing w:line="380" w:lineRule="exact"/>
              <w:jc w:val="center"/>
              <w:rPr>
                <w:rFonts w:hint="eastAsia" w:ascii="宋体" w:hAnsi="宋体" w:eastAsia="宋体" w:cs="宋体"/>
                <w:color w:val="auto"/>
                <w:sz w:val="22"/>
                <w:szCs w:val="22"/>
                <w:highlight w:val="none"/>
              </w:rPr>
            </w:pPr>
          </w:p>
        </w:tc>
      </w:tr>
      <w:tr w14:paraId="42C4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4B2F6918">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4ABCD729">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264A5CAB">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15F6D086">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21D394D6">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4784895A">
            <w:pPr>
              <w:spacing w:line="380" w:lineRule="exact"/>
              <w:jc w:val="center"/>
              <w:rPr>
                <w:rFonts w:hint="eastAsia" w:ascii="宋体" w:hAnsi="宋体" w:eastAsia="宋体" w:cs="宋体"/>
                <w:color w:val="auto"/>
                <w:sz w:val="22"/>
                <w:szCs w:val="22"/>
                <w:highlight w:val="none"/>
              </w:rPr>
            </w:pPr>
          </w:p>
        </w:tc>
      </w:tr>
      <w:tr w14:paraId="3D8C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580234A">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118E805F">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63C3350">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457498F8">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623261F4">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39E4F646">
            <w:pPr>
              <w:spacing w:line="380" w:lineRule="exact"/>
              <w:jc w:val="center"/>
              <w:rPr>
                <w:rFonts w:hint="eastAsia" w:ascii="宋体" w:hAnsi="宋体" w:eastAsia="宋体" w:cs="宋体"/>
                <w:color w:val="auto"/>
                <w:sz w:val="22"/>
                <w:szCs w:val="22"/>
                <w:highlight w:val="none"/>
              </w:rPr>
            </w:pPr>
          </w:p>
        </w:tc>
      </w:tr>
    </w:tbl>
    <w:p w14:paraId="0D0A463F">
      <w:pPr>
        <w:spacing w:line="38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cs="宋体"/>
          <w:b/>
          <w:color w:val="auto"/>
          <w:highlight w:val="none"/>
        </w:rPr>
        <w:t>不填写此表视为完全响应采购文件内容。</w:t>
      </w:r>
    </w:p>
    <w:p w14:paraId="114A9131">
      <w:pPr>
        <w:spacing w:line="380" w:lineRule="exact"/>
        <w:ind w:firstLine="4417" w:firstLineChars="2000"/>
        <w:rPr>
          <w:rFonts w:hint="eastAsia" w:ascii="宋体" w:hAnsi="宋体" w:cs="宋体"/>
          <w:b/>
          <w:color w:val="auto"/>
          <w:sz w:val="22"/>
          <w:szCs w:val="22"/>
          <w:highlight w:val="none"/>
        </w:rPr>
      </w:pPr>
    </w:p>
    <w:p w14:paraId="006BDFB0">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投标人名称（盖章）：</w:t>
      </w:r>
    </w:p>
    <w:p w14:paraId="091EC31D">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法定代表人（负责人）或授权代表（签字或盖章）：</w:t>
      </w:r>
    </w:p>
    <w:p w14:paraId="5774B9DF">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292251FF">
      <w:pPr>
        <w:spacing w:line="38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附件五</w:t>
      </w:r>
    </w:p>
    <w:p w14:paraId="14C13235">
      <w:pPr>
        <w:spacing w:line="380" w:lineRule="exact"/>
        <w:rPr>
          <w:rFonts w:hint="eastAsia" w:ascii="宋体" w:hAnsi="宋体" w:cs="宋体"/>
          <w:b/>
          <w:bCs/>
          <w:color w:val="auto"/>
          <w:sz w:val="22"/>
          <w:szCs w:val="22"/>
          <w:highlight w:val="none"/>
        </w:rPr>
      </w:pPr>
    </w:p>
    <w:p w14:paraId="54CBDD3B">
      <w:pPr>
        <w:spacing w:line="360" w:lineRule="auto"/>
        <w:ind w:firstLine="590" w:firstLineChars="245"/>
        <w:jc w:val="center"/>
        <w:rPr>
          <w:rFonts w:hint="eastAsia" w:ascii="宋体" w:hAnsi="宋体" w:cs="宋体"/>
          <w:b/>
          <w:bCs/>
          <w:color w:val="auto"/>
          <w:sz w:val="24"/>
          <w:highlight w:val="none"/>
        </w:rPr>
      </w:pPr>
      <w:r>
        <w:rPr>
          <w:rFonts w:hint="eastAsia" w:ascii="宋体" w:hAnsi="宋体" w:cs="宋体"/>
          <w:b/>
          <w:bCs/>
          <w:color w:val="auto"/>
          <w:sz w:val="24"/>
          <w:highlight w:val="none"/>
        </w:rPr>
        <w:t>车辆参数配置响应表</w:t>
      </w:r>
    </w:p>
    <w:p w14:paraId="0AD9C06C">
      <w:pPr>
        <w:spacing w:line="360" w:lineRule="auto"/>
        <w:ind w:firstLine="517" w:firstLineChars="245"/>
        <w:rPr>
          <w:rFonts w:hint="eastAsia" w:ascii="宋体" w:hAnsi="宋体" w:cs="宋体"/>
          <w:b/>
          <w:bCs/>
          <w:color w:val="auto"/>
          <w:szCs w:val="21"/>
          <w:highlight w:val="none"/>
        </w:rPr>
      </w:pPr>
      <w:r>
        <w:rPr>
          <w:rFonts w:hint="eastAsia" w:ascii="宋体" w:hAnsi="宋体" w:cs="宋体"/>
          <w:b/>
          <w:bCs/>
          <w:color w:val="auto"/>
          <w:szCs w:val="21"/>
          <w:highlight w:val="none"/>
        </w:rPr>
        <w:t>采购项目名称：                                          采购编号：</w:t>
      </w:r>
    </w:p>
    <w:tbl>
      <w:tblPr>
        <w:tblStyle w:val="34"/>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2085"/>
        <w:gridCol w:w="3944"/>
        <w:gridCol w:w="2935"/>
      </w:tblGrid>
      <w:tr w14:paraId="0C55A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exact"/>
          <w:jc w:val="center"/>
        </w:trPr>
        <w:tc>
          <w:tcPr>
            <w:tcW w:w="446" w:type="pct"/>
            <w:noWrap w:val="0"/>
            <w:vAlign w:val="center"/>
          </w:tcPr>
          <w:p w14:paraId="3718197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059" w:type="pct"/>
            <w:noWrap w:val="0"/>
            <w:vAlign w:val="center"/>
          </w:tcPr>
          <w:p w14:paraId="279764B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2003" w:type="pct"/>
            <w:noWrap w:val="0"/>
            <w:vAlign w:val="center"/>
          </w:tcPr>
          <w:p w14:paraId="044ECAF5">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技术要求</w:t>
            </w:r>
          </w:p>
        </w:tc>
        <w:tc>
          <w:tcPr>
            <w:tcW w:w="1490" w:type="pct"/>
            <w:noWrap w:val="0"/>
            <w:vAlign w:val="center"/>
          </w:tcPr>
          <w:p w14:paraId="6844E39E">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投标人响应值</w:t>
            </w:r>
          </w:p>
        </w:tc>
      </w:tr>
      <w:tr w14:paraId="482CC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446" w:type="pct"/>
            <w:noWrap w:val="0"/>
            <w:vAlign w:val="center"/>
          </w:tcPr>
          <w:p w14:paraId="7A82102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059" w:type="pct"/>
            <w:noWrap w:val="0"/>
            <w:vAlign w:val="center"/>
          </w:tcPr>
          <w:p w14:paraId="7F95DFB7">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排放标准</w:t>
            </w:r>
          </w:p>
        </w:tc>
        <w:tc>
          <w:tcPr>
            <w:tcW w:w="2003" w:type="pct"/>
            <w:noWrap w:val="0"/>
            <w:vAlign w:val="center"/>
          </w:tcPr>
          <w:p w14:paraId="3B5CF998">
            <w:pPr>
              <w:shd w:val="solid" w:color="FFFFFF" w:fill="auto"/>
              <w:autoSpaceDN w:val="0"/>
              <w:spacing w:line="420" w:lineRule="atLeas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shd w:val="clear" w:color="auto" w:fill="FFFFFF"/>
              </w:rPr>
              <w:t>国六</w:t>
            </w:r>
            <w:r>
              <w:rPr>
                <w:rFonts w:hint="eastAsia" w:ascii="宋体" w:hAnsi="宋体" w:cs="宋体"/>
                <w:color w:val="auto"/>
                <w:sz w:val="22"/>
                <w:szCs w:val="22"/>
                <w:highlight w:val="none"/>
                <w:shd w:val="clear" w:color="auto" w:fill="FFFFFF"/>
                <w:lang w:val="en-US" w:eastAsia="zh-CN"/>
              </w:rPr>
              <w:t>及以上</w:t>
            </w:r>
          </w:p>
        </w:tc>
        <w:tc>
          <w:tcPr>
            <w:tcW w:w="1490" w:type="pct"/>
            <w:noWrap w:val="0"/>
            <w:vAlign w:val="center"/>
          </w:tcPr>
          <w:p w14:paraId="53F87BC7">
            <w:pPr>
              <w:shd w:val="solid" w:color="FFFFFF" w:fill="auto"/>
              <w:autoSpaceDN w:val="0"/>
              <w:spacing w:line="420" w:lineRule="atLeast"/>
              <w:jc w:val="center"/>
              <w:rPr>
                <w:rFonts w:hint="eastAsia" w:ascii="宋体" w:hAnsi="宋体" w:cs="宋体"/>
                <w:color w:val="auto"/>
                <w:sz w:val="22"/>
                <w:szCs w:val="22"/>
                <w:highlight w:val="none"/>
                <w:shd w:val="clear" w:color="auto" w:fill="FFFFFF"/>
              </w:rPr>
            </w:pPr>
          </w:p>
        </w:tc>
      </w:tr>
      <w:tr w14:paraId="4659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446" w:type="pct"/>
            <w:noWrap w:val="0"/>
            <w:vAlign w:val="center"/>
          </w:tcPr>
          <w:p w14:paraId="377D269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059" w:type="pct"/>
            <w:noWrap w:val="0"/>
            <w:vAlign w:val="center"/>
          </w:tcPr>
          <w:p w14:paraId="2D9696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发动机</w:t>
            </w:r>
          </w:p>
        </w:tc>
        <w:tc>
          <w:tcPr>
            <w:tcW w:w="2003" w:type="pct"/>
            <w:noWrap w:val="0"/>
            <w:vAlign w:val="center"/>
          </w:tcPr>
          <w:p w14:paraId="1613FA5B">
            <w:pPr>
              <w:shd w:val="solid" w:color="FFFFFF" w:fill="auto"/>
              <w:autoSpaceDN w:val="0"/>
              <w:spacing w:line="42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功率：</w:t>
            </w:r>
            <w:r>
              <w:rPr>
                <w:rFonts w:hint="default" w:ascii="宋体" w:hAnsi="宋体" w:cs="宋体"/>
                <w:color w:val="auto"/>
                <w:sz w:val="22"/>
                <w:szCs w:val="22"/>
                <w:highlight w:val="none"/>
                <w:shd w:val="clear" w:color="auto" w:fill="FFFFFF"/>
                <w:lang w:val="en-US" w:eastAsia="zh-CN"/>
              </w:rPr>
              <w:t>≥</w:t>
            </w:r>
            <w:r>
              <w:rPr>
                <w:rFonts w:hint="eastAsia" w:ascii="宋体" w:hAnsi="宋体" w:cs="宋体"/>
                <w:color w:val="auto"/>
                <w:sz w:val="22"/>
                <w:szCs w:val="22"/>
                <w:highlight w:val="none"/>
                <w:shd w:val="clear" w:color="auto" w:fill="FFFFFF"/>
                <w:lang w:val="en-US" w:eastAsia="zh-CN"/>
              </w:rPr>
              <w:t>88千瓦</w:t>
            </w:r>
          </w:p>
        </w:tc>
        <w:tc>
          <w:tcPr>
            <w:tcW w:w="1490" w:type="pct"/>
            <w:noWrap w:val="0"/>
            <w:vAlign w:val="center"/>
          </w:tcPr>
          <w:p w14:paraId="03EA1BEC">
            <w:pPr>
              <w:shd w:val="solid" w:color="FFFFFF" w:fill="auto"/>
              <w:autoSpaceDN w:val="0"/>
              <w:spacing w:line="420" w:lineRule="atLeast"/>
              <w:jc w:val="center"/>
              <w:rPr>
                <w:rFonts w:hint="eastAsia" w:ascii="宋体" w:hAnsi="宋体" w:cs="宋体"/>
                <w:color w:val="auto"/>
                <w:sz w:val="22"/>
                <w:szCs w:val="22"/>
                <w:highlight w:val="none"/>
                <w:shd w:val="clear" w:color="auto" w:fill="FFFFFF"/>
              </w:rPr>
            </w:pPr>
          </w:p>
        </w:tc>
      </w:tr>
      <w:tr w14:paraId="7ADBD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6" w:type="pct"/>
            <w:vMerge w:val="restart"/>
            <w:noWrap w:val="0"/>
            <w:vAlign w:val="center"/>
          </w:tcPr>
          <w:p w14:paraId="3AAAC192">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1059" w:type="pct"/>
            <w:vMerge w:val="restart"/>
            <w:noWrap w:val="0"/>
            <w:vAlign w:val="center"/>
          </w:tcPr>
          <w:p w14:paraId="70C32F1B">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驾驶室</w:t>
            </w:r>
          </w:p>
        </w:tc>
        <w:tc>
          <w:tcPr>
            <w:tcW w:w="2003" w:type="pct"/>
            <w:noWrap w:val="0"/>
            <w:vAlign w:val="center"/>
          </w:tcPr>
          <w:p w14:paraId="75F48900">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双排驾驶室带原装空调</w:t>
            </w:r>
          </w:p>
        </w:tc>
        <w:tc>
          <w:tcPr>
            <w:tcW w:w="1490" w:type="pct"/>
            <w:noWrap w:val="0"/>
            <w:vAlign w:val="center"/>
          </w:tcPr>
          <w:p w14:paraId="6CAC129A">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637A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continue"/>
            <w:noWrap w:val="0"/>
            <w:vAlign w:val="center"/>
          </w:tcPr>
          <w:p w14:paraId="6EAEA566">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015C2528">
            <w:pPr>
              <w:spacing w:line="440" w:lineRule="exact"/>
              <w:jc w:val="center"/>
              <w:rPr>
                <w:rFonts w:ascii="宋体" w:hAnsi="宋体" w:cs="宋体"/>
                <w:color w:val="auto"/>
                <w:sz w:val="22"/>
                <w:szCs w:val="22"/>
                <w:highlight w:val="none"/>
              </w:rPr>
            </w:pPr>
          </w:p>
        </w:tc>
        <w:tc>
          <w:tcPr>
            <w:tcW w:w="2003" w:type="pct"/>
            <w:noWrap w:val="0"/>
            <w:vAlign w:val="center"/>
          </w:tcPr>
          <w:p w14:paraId="006A1AF5">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方向带助力</w:t>
            </w:r>
          </w:p>
        </w:tc>
        <w:tc>
          <w:tcPr>
            <w:tcW w:w="1490" w:type="pct"/>
            <w:noWrap w:val="0"/>
            <w:vAlign w:val="center"/>
          </w:tcPr>
          <w:p w14:paraId="12512DCA">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1E5A0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446" w:type="pct"/>
            <w:vMerge w:val="restart"/>
            <w:noWrap w:val="0"/>
            <w:vAlign w:val="center"/>
          </w:tcPr>
          <w:p w14:paraId="30863858">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059" w:type="pct"/>
            <w:vMerge w:val="restart"/>
            <w:noWrap w:val="0"/>
            <w:vAlign w:val="center"/>
          </w:tcPr>
          <w:p w14:paraId="0FA12599">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工作斗</w:t>
            </w:r>
          </w:p>
        </w:tc>
        <w:tc>
          <w:tcPr>
            <w:tcW w:w="2003" w:type="pct"/>
            <w:noWrap w:val="0"/>
            <w:vAlign w:val="center"/>
          </w:tcPr>
          <w:p w14:paraId="471E8BDD">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工作斗额定载质量</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120kg</w:t>
            </w:r>
          </w:p>
        </w:tc>
        <w:tc>
          <w:tcPr>
            <w:tcW w:w="1490" w:type="pct"/>
            <w:noWrap w:val="0"/>
            <w:vAlign w:val="center"/>
          </w:tcPr>
          <w:p w14:paraId="747AFAA1">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3981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446" w:type="pct"/>
            <w:vMerge w:val="continue"/>
            <w:noWrap w:val="0"/>
            <w:vAlign w:val="center"/>
          </w:tcPr>
          <w:p w14:paraId="19C3A744">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2FFEA3E5">
            <w:pPr>
              <w:spacing w:line="440" w:lineRule="exact"/>
              <w:jc w:val="center"/>
              <w:rPr>
                <w:rFonts w:ascii="宋体" w:hAnsi="宋体" w:cs="宋体"/>
                <w:color w:val="auto"/>
                <w:sz w:val="22"/>
                <w:szCs w:val="22"/>
                <w:highlight w:val="none"/>
              </w:rPr>
            </w:pPr>
          </w:p>
        </w:tc>
        <w:tc>
          <w:tcPr>
            <w:tcW w:w="2003" w:type="pct"/>
            <w:noWrap w:val="0"/>
            <w:vAlign w:val="center"/>
          </w:tcPr>
          <w:p w14:paraId="72E6160A">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工作斗最大作业高度</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9米</w:t>
            </w:r>
          </w:p>
        </w:tc>
        <w:tc>
          <w:tcPr>
            <w:tcW w:w="1490" w:type="pct"/>
            <w:noWrap w:val="0"/>
            <w:vAlign w:val="center"/>
          </w:tcPr>
          <w:p w14:paraId="102A6B12">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781F2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46" w:type="pct"/>
            <w:vMerge w:val="continue"/>
            <w:noWrap w:val="0"/>
            <w:vAlign w:val="center"/>
          </w:tcPr>
          <w:p w14:paraId="60842668">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5F9BB903">
            <w:pPr>
              <w:spacing w:line="440" w:lineRule="exact"/>
              <w:jc w:val="center"/>
              <w:rPr>
                <w:rFonts w:ascii="宋体" w:hAnsi="宋体" w:cs="宋体"/>
                <w:color w:val="auto"/>
                <w:sz w:val="22"/>
                <w:szCs w:val="22"/>
                <w:highlight w:val="none"/>
              </w:rPr>
            </w:pPr>
          </w:p>
        </w:tc>
        <w:tc>
          <w:tcPr>
            <w:tcW w:w="2003" w:type="pct"/>
            <w:noWrap w:val="0"/>
            <w:vAlign w:val="center"/>
          </w:tcPr>
          <w:p w14:paraId="703588BD">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最大作业幅度(半径)</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4米</w:t>
            </w:r>
          </w:p>
        </w:tc>
        <w:tc>
          <w:tcPr>
            <w:tcW w:w="1490" w:type="pct"/>
            <w:noWrap w:val="0"/>
            <w:vAlign w:val="center"/>
          </w:tcPr>
          <w:p w14:paraId="48B07DC7">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3CD0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46" w:type="pct"/>
            <w:vMerge w:val="continue"/>
            <w:noWrap w:val="0"/>
            <w:vAlign w:val="center"/>
          </w:tcPr>
          <w:p w14:paraId="3F566857">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6DB3334E">
            <w:pPr>
              <w:spacing w:line="440" w:lineRule="exact"/>
              <w:jc w:val="center"/>
              <w:rPr>
                <w:rFonts w:ascii="宋体" w:hAnsi="宋体" w:cs="宋体"/>
                <w:color w:val="auto"/>
                <w:sz w:val="22"/>
                <w:szCs w:val="22"/>
                <w:highlight w:val="none"/>
              </w:rPr>
            </w:pPr>
          </w:p>
        </w:tc>
        <w:tc>
          <w:tcPr>
            <w:tcW w:w="2003" w:type="pct"/>
            <w:noWrap w:val="0"/>
            <w:vAlign w:val="center"/>
          </w:tcPr>
          <w:p w14:paraId="54968F25">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升降折叠臂</w:t>
            </w:r>
          </w:p>
        </w:tc>
        <w:tc>
          <w:tcPr>
            <w:tcW w:w="1490" w:type="pct"/>
            <w:noWrap w:val="0"/>
            <w:vAlign w:val="center"/>
          </w:tcPr>
          <w:p w14:paraId="61C9E44D">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491C5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446" w:type="pct"/>
            <w:vMerge w:val="continue"/>
            <w:noWrap w:val="0"/>
            <w:vAlign w:val="center"/>
          </w:tcPr>
          <w:p w14:paraId="6AB92C53">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01451F79">
            <w:pPr>
              <w:spacing w:line="440" w:lineRule="exact"/>
              <w:jc w:val="center"/>
              <w:rPr>
                <w:rFonts w:ascii="宋体" w:hAnsi="宋体" w:cs="宋体"/>
                <w:color w:val="auto"/>
                <w:sz w:val="22"/>
                <w:szCs w:val="22"/>
                <w:highlight w:val="none"/>
              </w:rPr>
            </w:pPr>
          </w:p>
        </w:tc>
        <w:tc>
          <w:tcPr>
            <w:tcW w:w="2003" w:type="pct"/>
            <w:noWrap w:val="0"/>
            <w:vAlign w:val="center"/>
          </w:tcPr>
          <w:p w14:paraId="5DF81B3D">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转台操作系统360度全回转</w:t>
            </w:r>
          </w:p>
        </w:tc>
        <w:tc>
          <w:tcPr>
            <w:tcW w:w="1490" w:type="pct"/>
            <w:noWrap w:val="0"/>
            <w:vAlign w:val="center"/>
          </w:tcPr>
          <w:p w14:paraId="46B8A944">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72ADE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2" w:hRule="atLeast"/>
          <w:jc w:val="center"/>
        </w:trPr>
        <w:tc>
          <w:tcPr>
            <w:tcW w:w="446" w:type="pct"/>
            <w:noWrap w:val="0"/>
            <w:vAlign w:val="center"/>
          </w:tcPr>
          <w:p w14:paraId="3B2EDFE6">
            <w:pPr>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1059" w:type="pct"/>
            <w:noWrap w:val="0"/>
            <w:vAlign w:val="center"/>
          </w:tcPr>
          <w:p w14:paraId="5D55B375">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b/>
                <w:bCs/>
                <w:color w:val="auto"/>
                <w:szCs w:val="21"/>
                <w:highlight w:val="none"/>
                <w:u w:val="single"/>
                <w:lang w:val="en-US" w:eastAsia="zh-CN"/>
              </w:rPr>
              <w:t>▲整车外形尺寸</w:t>
            </w:r>
          </w:p>
        </w:tc>
        <w:tc>
          <w:tcPr>
            <w:tcW w:w="2003" w:type="pct"/>
            <w:noWrap w:val="0"/>
            <w:vAlign w:val="center"/>
          </w:tcPr>
          <w:p w14:paraId="4B40341A">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4</w:t>
            </w:r>
            <w:r>
              <w:rPr>
                <w:rFonts w:hint="eastAsia" w:hAnsi="宋体" w:cs="Times New Roman"/>
                <w:color w:val="auto"/>
                <w:szCs w:val="21"/>
                <w:highlight w:val="none"/>
                <w:lang w:val="en-US" w:eastAsia="zh-CN"/>
              </w:rPr>
              <w:t>920</w:t>
            </w:r>
            <w:r>
              <w:rPr>
                <w:rFonts w:hint="eastAsia" w:ascii="Times New Roman" w:hAnsi="宋体" w:eastAsia="宋体" w:cs="Times New Roman"/>
                <w:color w:val="auto"/>
                <w:szCs w:val="21"/>
                <w:highlight w:val="none"/>
                <w:lang w:val="en-US" w:eastAsia="zh-CN"/>
              </w:rPr>
              <w:t>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长</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49</w:t>
            </w:r>
            <w:r>
              <w:rPr>
                <w:rFonts w:hint="eastAsia" w:hAnsi="宋体" w:cs="Times New Roman"/>
                <w:color w:val="auto"/>
                <w:szCs w:val="21"/>
                <w:highlight w:val="none"/>
                <w:lang w:val="en-US" w:eastAsia="zh-CN"/>
              </w:rPr>
              <w:t>4</w:t>
            </w:r>
            <w:r>
              <w:rPr>
                <w:rFonts w:hint="eastAsia" w:ascii="Times New Roman" w:hAnsi="宋体" w:eastAsia="宋体" w:cs="Times New Roman"/>
                <w:color w:val="auto"/>
                <w:szCs w:val="21"/>
                <w:highlight w:val="none"/>
                <w:lang w:val="en-US" w:eastAsia="zh-CN"/>
              </w:rPr>
              <w:t>0mm、1</w:t>
            </w:r>
            <w:r>
              <w:rPr>
                <w:rFonts w:hint="eastAsia" w:hAnsi="宋体" w:cs="Times New Roman"/>
                <w:color w:val="auto"/>
                <w:szCs w:val="21"/>
                <w:highlight w:val="none"/>
                <w:lang w:val="en-US" w:eastAsia="zh-CN"/>
              </w:rPr>
              <w:t>690</w:t>
            </w:r>
            <w:r>
              <w:rPr>
                <w:rFonts w:hint="eastAsia" w:ascii="Times New Roman" w:hAnsi="宋体" w:eastAsia="宋体" w:cs="Times New Roman"/>
                <w:color w:val="auto"/>
                <w:szCs w:val="21"/>
                <w:highlight w:val="none"/>
                <w:lang w:val="en-US" w:eastAsia="zh-CN"/>
              </w:rPr>
              <w:t>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宽</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1750mm、2700mm</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高</w:t>
            </w:r>
            <w:r>
              <w:rPr>
                <w:rFonts w:hint="default"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2800mm</w:t>
            </w:r>
          </w:p>
        </w:tc>
        <w:tc>
          <w:tcPr>
            <w:tcW w:w="1490" w:type="pct"/>
            <w:noWrap w:val="0"/>
            <w:vAlign w:val="center"/>
          </w:tcPr>
          <w:p w14:paraId="1C9D3E7B">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12BC2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noWrap w:val="0"/>
            <w:vAlign w:val="center"/>
          </w:tcPr>
          <w:p w14:paraId="196D3C4B">
            <w:pPr>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1059" w:type="pct"/>
            <w:noWrap w:val="0"/>
            <w:vAlign w:val="center"/>
          </w:tcPr>
          <w:p w14:paraId="05834DD0">
            <w:pPr>
              <w:spacing w:line="440" w:lineRule="exac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汽车轴数</w:t>
            </w:r>
          </w:p>
        </w:tc>
        <w:tc>
          <w:tcPr>
            <w:tcW w:w="2003" w:type="pct"/>
            <w:noWrap w:val="0"/>
            <w:vAlign w:val="center"/>
          </w:tcPr>
          <w:p w14:paraId="4DB9947F">
            <w:pPr>
              <w:shd w:val="solid" w:color="FFFFFF" w:fill="auto"/>
              <w:autoSpaceDN w:val="0"/>
              <w:spacing w:line="420" w:lineRule="atLeast"/>
              <w:jc w:val="center"/>
              <w:rPr>
                <w:rFonts w:ascii="宋体" w:hAnsi="宋体" w:cs="宋体"/>
                <w:color w:val="auto"/>
                <w:sz w:val="22"/>
                <w:szCs w:val="22"/>
                <w:highlight w:val="none"/>
              </w:rPr>
            </w:pPr>
            <w:r>
              <w:rPr>
                <w:rFonts w:hint="eastAsia" w:ascii="Times New Roman" w:hAnsi="宋体" w:eastAsia="宋体" w:cs="Times New Roman"/>
                <w:color w:val="auto"/>
                <w:szCs w:val="21"/>
                <w:highlight w:val="none"/>
                <w:lang w:val="en-US" w:eastAsia="zh-CN"/>
              </w:rPr>
              <w:t>二轴</w:t>
            </w:r>
          </w:p>
        </w:tc>
        <w:tc>
          <w:tcPr>
            <w:tcW w:w="1490" w:type="pct"/>
            <w:noWrap w:val="0"/>
            <w:vAlign w:val="center"/>
          </w:tcPr>
          <w:p w14:paraId="5F8DD805">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2B2A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restart"/>
            <w:noWrap w:val="0"/>
            <w:vAlign w:val="center"/>
          </w:tcPr>
          <w:p w14:paraId="7B0916E3">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059" w:type="pct"/>
            <w:vMerge w:val="restart"/>
            <w:noWrap w:val="0"/>
            <w:vAlign w:val="center"/>
          </w:tcPr>
          <w:p w14:paraId="18A71072">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 xml:space="preserve">     其它功能</w:t>
            </w:r>
          </w:p>
        </w:tc>
        <w:tc>
          <w:tcPr>
            <w:tcW w:w="2003" w:type="pct"/>
            <w:noWrap w:val="0"/>
            <w:vAlign w:val="center"/>
          </w:tcPr>
          <w:p w14:paraId="35B513B8">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车身颜色</w:t>
            </w:r>
            <w:r>
              <w:rPr>
                <w:rFonts w:hint="eastAsia" w:hAnsi="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工程黄</w:t>
            </w:r>
          </w:p>
        </w:tc>
        <w:tc>
          <w:tcPr>
            <w:tcW w:w="1490" w:type="pct"/>
            <w:noWrap w:val="0"/>
            <w:vAlign w:val="center"/>
          </w:tcPr>
          <w:p w14:paraId="7A264F94">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r w14:paraId="06C8A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continue"/>
            <w:noWrap w:val="0"/>
            <w:vAlign w:val="center"/>
          </w:tcPr>
          <w:p w14:paraId="10B4686E">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40209E4B">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2003" w:type="pct"/>
            <w:noWrap w:val="0"/>
            <w:vAlign w:val="center"/>
          </w:tcPr>
          <w:p w14:paraId="4A9F5F38">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rPr>
              <w:t>▲</w:t>
            </w:r>
            <w:r>
              <w:rPr>
                <w:rFonts w:hint="eastAsia" w:ascii="Times New Roman" w:hAnsi="宋体" w:eastAsia="宋体" w:cs="Times New Roman"/>
                <w:b/>
                <w:bCs w:val="0"/>
                <w:color w:val="auto"/>
                <w:szCs w:val="21"/>
                <w:highlight w:val="none"/>
                <w:u w:val="single"/>
                <w:lang w:val="en-US" w:eastAsia="zh-CN"/>
              </w:rPr>
              <w:t>采用汽车底盘性能要等于或优于QL1040</w:t>
            </w:r>
          </w:p>
        </w:tc>
        <w:tc>
          <w:tcPr>
            <w:tcW w:w="1490" w:type="pct"/>
            <w:noWrap w:val="0"/>
            <w:vAlign w:val="center"/>
          </w:tcPr>
          <w:p w14:paraId="7031602A">
            <w:pPr>
              <w:shd w:val="solid" w:color="FFFFFF" w:fill="auto"/>
              <w:autoSpaceDN w:val="0"/>
              <w:spacing w:line="420" w:lineRule="atLeast"/>
              <w:jc w:val="center"/>
              <w:rPr>
                <w:rFonts w:hint="eastAsia" w:ascii="宋体" w:hAnsi="宋体" w:cs="宋体"/>
                <w:b/>
                <w:bCs w:val="0"/>
                <w:color w:val="auto"/>
                <w:szCs w:val="21"/>
                <w:highlight w:val="none"/>
                <w:u w:val="single"/>
              </w:rPr>
            </w:pPr>
          </w:p>
        </w:tc>
      </w:tr>
      <w:tr w14:paraId="6B0D6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continue"/>
            <w:noWrap w:val="0"/>
            <w:vAlign w:val="center"/>
          </w:tcPr>
          <w:p w14:paraId="6C94EB1D">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6A68D6B5">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2003" w:type="pct"/>
            <w:noWrap w:val="0"/>
            <w:vAlign w:val="center"/>
          </w:tcPr>
          <w:p w14:paraId="056FDE52">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lang w:val="en-US" w:eastAsia="zh-CN"/>
              </w:rPr>
              <w:t>*具有前后四支垂直支腿支撑</w:t>
            </w:r>
          </w:p>
        </w:tc>
        <w:tc>
          <w:tcPr>
            <w:tcW w:w="1490" w:type="pct"/>
            <w:noWrap w:val="0"/>
            <w:vAlign w:val="center"/>
          </w:tcPr>
          <w:p w14:paraId="55AD2431">
            <w:pPr>
              <w:shd w:val="solid" w:color="FFFFFF" w:fill="auto"/>
              <w:autoSpaceDN w:val="0"/>
              <w:spacing w:line="420" w:lineRule="atLeast"/>
              <w:jc w:val="center"/>
              <w:rPr>
                <w:rFonts w:hint="eastAsia" w:ascii="宋体" w:hAnsi="宋体" w:cs="宋体"/>
                <w:b/>
                <w:bCs w:val="0"/>
                <w:color w:val="auto"/>
                <w:szCs w:val="21"/>
                <w:highlight w:val="none"/>
                <w:u w:val="single"/>
                <w:lang w:val="en-US" w:eastAsia="zh-CN"/>
              </w:rPr>
            </w:pPr>
          </w:p>
        </w:tc>
      </w:tr>
      <w:tr w14:paraId="6BDB9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continue"/>
            <w:noWrap w:val="0"/>
            <w:vAlign w:val="center"/>
          </w:tcPr>
          <w:p w14:paraId="2872DD8E">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5779EAA9">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2003" w:type="pct"/>
            <w:noWrap w:val="0"/>
            <w:vAlign w:val="center"/>
          </w:tcPr>
          <w:p w14:paraId="50E78328">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r>
              <w:rPr>
                <w:rFonts w:hint="eastAsia" w:ascii="宋体" w:hAnsi="宋体" w:cs="宋体"/>
                <w:b/>
                <w:bCs w:val="0"/>
                <w:color w:val="auto"/>
                <w:szCs w:val="21"/>
                <w:highlight w:val="none"/>
                <w:u w:val="single"/>
              </w:rPr>
              <w:t>▲</w:t>
            </w:r>
            <w:r>
              <w:rPr>
                <w:rFonts w:hint="eastAsia" w:ascii="Times New Roman" w:hAnsi="宋体" w:eastAsia="宋体" w:cs="Times New Roman"/>
                <w:b/>
                <w:bCs w:val="0"/>
                <w:color w:val="auto"/>
                <w:szCs w:val="21"/>
                <w:highlight w:val="none"/>
                <w:u w:val="single"/>
                <w:lang w:val="en-US" w:eastAsia="zh-CN"/>
              </w:rPr>
              <w:t>供应商中标后在15天内交车上牌。</w:t>
            </w:r>
          </w:p>
        </w:tc>
        <w:tc>
          <w:tcPr>
            <w:tcW w:w="1490" w:type="pct"/>
            <w:noWrap w:val="0"/>
            <w:vAlign w:val="center"/>
          </w:tcPr>
          <w:p w14:paraId="4279B63B">
            <w:pPr>
              <w:shd w:val="solid" w:color="FFFFFF" w:fill="auto"/>
              <w:autoSpaceDN w:val="0"/>
              <w:spacing w:line="420" w:lineRule="atLeast"/>
              <w:jc w:val="center"/>
              <w:rPr>
                <w:rFonts w:hint="eastAsia" w:ascii="宋体" w:hAnsi="宋体" w:cs="宋体"/>
                <w:b/>
                <w:bCs w:val="0"/>
                <w:color w:val="auto"/>
                <w:szCs w:val="21"/>
                <w:highlight w:val="none"/>
                <w:u w:val="single"/>
              </w:rPr>
            </w:pPr>
          </w:p>
        </w:tc>
      </w:tr>
      <w:tr w14:paraId="5A3B6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6" w:type="pct"/>
            <w:vMerge w:val="continue"/>
            <w:noWrap w:val="0"/>
            <w:vAlign w:val="center"/>
          </w:tcPr>
          <w:p w14:paraId="4E1C85F8">
            <w:pPr>
              <w:spacing w:line="440" w:lineRule="exact"/>
              <w:jc w:val="center"/>
              <w:rPr>
                <w:rFonts w:ascii="宋体" w:hAnsi="宋体" w:cs="宋体"/>
                <w:color w:val="auto"/>
                <w:sz w:val="22"/>
                <w:szCs w:val="22"/>
                <w:highlight w:val="none"/>
              </w:rPr>
            </w:pPr>
          </w:p>
        </w:tc>
        <w:tc>
          <w:tcPr>
            <w:tcW w:w="1059" w:type="pct"/>
            <w:vMerge w:val="continue"/>
            <w:noWrap w:val="0"/>
            <w:vAlign w:val="center"/>
          </w:tcPr>
          <w:p w14:paraId="3998E3C1">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c>
          <w:tcPr>
            <w:tcW w:w="2003" w:type="pct"/>
            <w:noWrap w:val="0"/>
            <w:vAlign w:val="center"/>
          </w:tcPr>
          <w:p w14:paraId="1C10427A">
            <w:pPr>
              <w:shd w:val="solid" w:color="FFFFFF" w:fill="auto"/>
              <w:autoSpaceDN w:val="0"/>
              <w:spacing w:line="420" w:lineRule="atLeast"/>
              <w:jc w:val="center"/>
              <w:rPr>
                <w:rFonts w:hint="eastAsia" w:ascii="宋体" w:hAnsi="宋体" w:cs="宋体"/>
                <w:b/>
                <w:bCs w:val="0"/>
                <w:color w:val="auto"/>
                <w:szCs w:val="21"/>
                <w:highlight w:val="none"/>
                <w:u w:val="single"/>
              </w:rPr>
            </w:pPr>
            <w:r>
              <w:rPr>
                <w:rFonts w:hint="eastAsia" w:ascii="Times New Roman" w:hAnsi="宋体" w:eastAsia="宋体" w:cs="Times New Roman"/>
                <w:color w:val="auto"/>
                <w:szCs w:val="21"/>
                <w:highlight w:val="none"/>
                <w:lang w:val="en-US" w:eastAsia="zh-CN"/>
              </w:rPr>
              <w:t>汽车底盘制造时间要在车辆交付使用之日前12个月内。</w:t>
            </w:r>
          </w:p>
        </w:tc>
        <w:tc>
          <w:tcPr>
            <w:tcW w:w="1490" w:type="pct"/>
            <w:noWrap w:val="0"/>
            <w:vAlign w:val="center"/>
          </w:tcPr>
          <w:p w14:paraId="2CF314AC">
            <w:pPr>
              <w:shd w:val="solid" w:color="FFFFFF" w:fill="auto"/>
              <w:autoSpaceDN w:val="0"/>
              <w:spacing w:line="420" w:lineRule="atLeast"/>
              <w:jc w:val="center"/>
              <w:rPr>
                <w:rFonts w:hint="eastAsia" w:ascii="Times New Roman" w:hAnsi="宋体" w:eastAsia="宋体" w:cs="Times New Roman"/>
                <w:color w:val="auto"/>
                <w:szCs w:val="21"/>
                <w:highlight w:val="none"/>
                <w:lang w:val="en-US" w:eastAsia="zh-CN"/>
              </w:rPr>
            </w:pPr>
          </w:p>
        </w:tc>
      </w:tr>
    </w:tbl>
    <w:p w14:paraId="74E89281">
      <w:pPr>
        <w:pStyle w:val="20"/>
        <w:spacing w:line="500" w:lineRule="atLeast"/>
        <w:rPr>
          <w:rFonts w:hint="eastAsia" w:hAnsi="宋体" w:cs="宋体"/>
          <w:color w:val="auto"/>
          <w:highlight w:val="none"/>
        </w:rPr>
      </w:pPr>
      <w:r>
        <w:rPr>
          <w:rFonts w:hint="eastAsia" w:hAnsi="宋体" w:cs="宋体"/>
          <w:color w:val="auto"/>
          <w:highlight w:val="none"/>
        </w:rPr>
        <w:t>备注：</w:t>
      </w:r>
    </w:p>
    <w:p w14:paraId="7C467B14">
      <w:pPr>
        <w:numPr>
          <w:ilvl w:val="0"/>
          <w:numId w:val="33"/>
        </w:numPr>
        <w:ind w:firstLine="413"/>
        <w:rPr>
          <w:rFonts w:hint="eastAsia" w:ascii="宋体" w:hAnsi="宋体" w:cs="宋体"/>
          <w:b/>
          <w:color w:val="auto"/>
          <w:highlight w:val="none"/>
        </w:rPr>
      </w:pPr>
      <w:r>
        <w:rPr>
          <w:rFonts w:hint="eastAsia" w:ascii="宋体" w:hAnsi="宋体" w:cs="宋体"/>
          <w:b/>
          <w:color w:val="auto"/>
          <w:highlight w:val="none"/>
        </w:rPr>
        <w:t>投标人在“投标响应值”栏中应如实填写，没有该配置的可以填写“无”，不允许改变表格内容和顺序。</w:t>
      </w:r>
    </w:p>
    <w:p w14:paraId="4D459B9C">
      <w:pPr>
        <w:numPr>
          <w:ilvl w:val="0"/>
          <w:numId w:val="33"/>
        </w:numPr>
        <w:ind w:firstLine="413"/>
        <w:rPr>
          <w:rFonts w:hint="eastAsia" w:ascii="宋体" w:hAnsi="宋体" w:cs="宋体"/>
          <w:b/>
          <w:color w:val="auto"/>
          <w:highlight w:val="none"/>
          <w:u w:val="single"/>
        </w:rPr>
      </w:pPr>
      <w:r>
        <w:rPr>
          <w:rFonts w:hint="eastAsia" w:ascii="宋体" w:hAnsi="宋体" w:cs="宋体"/>
          <w:b/>
          <w:color w:val="auto"/>
          <w:highlight w:val="none"/>
          <w:u w:val="single"/>
        </w:rPr>
        <w:t>▲不提供此表格的将视为没有实质性响应采购文件。</w:t>
      </w:r>
    </w:p>
    <w:p w14:paraId="658343F4">
      <w:pPr>
        <w:numPr>
          <w:ilvl w:val="0"/>
          <w:numId w:val="33"/>
        </w:numPr>
        <w:ind w:firstLine="413"/>
        <w:rPr>
          <w:rFonts w:hint="eastAsia" w:ascii="宋体" w:hAnsi="宋体" w:cs="宋体"/>
          <w:b/>
          <w:color w:val="auto"/>
          <w:highlight w:val="none"/>
        </w:rPr>
      </w:pPr>
      <w:r>
        <w:rPr>
          <w:rFonts w:hint="eastAsia" w:ascii="宋体" w:hAnsi="宋体" w:cs="宋体"/>
          <w:b/>
          <w:color w:val="auto"/>
          <w:highlight w:val="none"/>
        </w:rPr>
        <w:t>须附：车辆彩色宣传样本以及能够证实投标设备技术参数和性能的有效证明文件（须与实际所投车型相符）</w:t>
      </w:r>
    </w:p>
    <w:p w14:paraId="3EAF2161">
      <w:pPr>
        <w:ind w:left="420"/>
        <w:rPr>
          <w:rFonts w:hint="eastAsia" w:ascii="宋体" w:hAnsi="宋体" w:cs="宋体"/>
          <w:b/>
          <w:color w:val="auto"/>
          <w:highlight w:val="none"/>
        </w:rPr>
      </w:pPr>
    </w:p>
    <w:p w14:paraId="55B131BA">
      <w:pPr>
        <w:spacing w:line="360" w:lineRule="auto"/>
        <w:ind w:firstLine="5250" w:firstLineChars="2500"/>
        <w:rPr>
          <w:rFonts w:ascii="Arial" w:hAnsi="Arial" w:cs="Arial"/>
          <w:color w:val="auto"/>
          <w:szCs w:val="21"/>
          <w:highlight w:val="none"/>
        </w:rPr>
      </w:pPr>
      <w:r>
        <w:rPr>
          <w:rFonts w:ascii="Arial" w:hAnsi="宋体" w:cs="Arial"/>
          <w:color w:val="auto"/>
          <w:szCs w:val="21"/>
          <w:highlight w:val="none"/>
        </w:rPr>
        <w:t>投标人全称（盖章）：</w:t>
      </w:r>
    </w:p>
    <w:p w14:paraId="425D3F16">
      <w:pPr>
        <w:spacing w:line="360" w:lineRule="auto"/>
        <w:ind w:firstLine="5250" w:firstLineChars="2500"/>
        <w:rPr>
          <w:rFonts w:ascii="Arial" w:hAnsi="Arial" w:cs="Arial"/>
          <w:color w:val="auto"/>
          <w:szCs w:val="21"/>
          <w:highlight w:val="none"/>
        </w:rPr>
      </w:pPr>
      <w:r>
        <w:rPr>
          <w:rFonts w:ascii="Arial" w:hAnsi="宋体" w:cs="Arial"/>
          <w:color w:val="auto"/>
          <w:szCs w:val="21"/>
          <w:highlight w:val="none"/>
        </w:rPr>
        <w:t>法定代表人或授权代表（签字</w:t>
      </w:r>
      <w:r>
        <w:rPr>
          <w:rFonts w:hint="eastAsia" w:ascii="Arial" w:hAnsi="宋体" w:cs="Arial"/>
          <w:color w:val="auto"/>
          <w:szCs w:val="21"/>
          <w:highlight w:val="none"/>
        </w:rPr>
        <w:t>或盖章</w:t>
      </w:r>
      <w:r>
        <w:rPr>
          <w:rFonts w:ascii="Arial" w:hAnsi="宋体" w:cs="Arial"/>
          <w:color w:val="auto"/>
          <w:szCs w:val="21"/>
          <w:highlight w:val="none"/>
        </w:rPr>
        <w:t>）：</w:t>
      </w:r>
    </w:p>
    <w:p w14:paraId="4CD56A08">
      <w:pPr>
        <w:ind w:firstLine="5241" w:firstLineChars="2496"/>
        <w:rPr>
          <w:rFonts w:hint="eastAsia" w:ascii="宋体" w:hAnsi="宋体" w:cs="宋体"/>
          <w:b/>
          <w:bCs/>
          <w:color w:val="auto"/>
          <w:sz w:val="24"/>
          <w:highlight w:val="none"/>
        </w:rPr>
      </w:pPr>
      <w:r>
        <w:rPr>
          <w:rFonts w:ascii="Arial" w:hAnsi="宋体" w:cs="Arial"/>
          <w:color w:val="auto"/>
          <w:szCs w:val="21"/>
          <w:highlight w:val="none"/>
        </w:rPr>
        <w:t>日</w:t>
      </w:r>
      <w:r>
        <w:rPr>
          <w:rFonts w:ascii="Arial" w:hAnsi="Arial" w:cs="Arial"/>
          <w:color w:val="auto"/>
          <w:szCs w:val="21"/>
          <w:highlight w:val="none"/>
        </w:rPr>
        <w:t xml:space="preserve"> </w:t>
      </w:r>
      <w:r>
        <w:rPr>
          <w:rFonts w:ascii="Arial" w:hAnsi="宋体" w:cs="Arial"/>
          <w:color w:val="auto"/>
          <w:szCs w:val="21"/>
          <w:highlight w:val="none"/>
        </w:rPr>
        <w:t>期：</w:t>
      </w:r>
      <w:r>
        <w:rPr>
          <w:rFonts w:ascii="Arial" w:hAnsi="Arial" w:cs="Arial"/>
          <w:color w:val="auto"/>
          <w:szCs w:val="21"/>
          <w:highlight w:val="none"/>
        </w:rPr>
        <w:t xml:space="preserve">  </w:t>
      </w:r>
      <w:r>
        <w:rPr>
          <w:rFonts w:ascii="Arial" w:hAnsi="宋体" w:cs="Arial"/>
          <w:color w:val="auto"/>
          <w:szCs w:val="21"/>
          <w:highlight w:val="none"/>
        </w:rPr>
        <w:t>年</w:t>
      </w:r>
      <w:r>
        <w:rPr>
          <w:rFonts w:ascii="Arial" w:hAnsi="Arial" w:cs="Arial"/>
          <w:color w:val="auto"/>
          <w:szCs w:val="21"/>
          <w:highlight w:val="none"/>
        </w:rPr>
        <w:t xml:space="preserve">  </w:t>
      </w:r>
      <w:r>
        <w:rPr>
          <w:rFonts w:ascii="Arial" w:hAnsi="宋体" w:cs="Arial"/>
          <w:color w:val="auto"/>
          <w:szCs w:val="21"/>
          <w:highlight w:val="none"/>
        </w:rPr>
        <w:t>月</w:t>
      </w:r>
      <w:r>
        <w:rPr>
          <w:rFonts w:ascii="Arial" w:hAnsi="Arial" w:cs="Arial"/>
          <w:color w:val="auto"/>
          <w:szCs w:val="21"/>
          <w:highlight w:val="none"/>
        </w:rPr>
        <w:t xml:space="preserve">  </w:t>
      </w:r>
      <w:r>
        <w:rPr>
          <w:rFonts w:ascii="Arial" w:hAnsi="宋体" w:cs="Arial"/>
          <w:color w:val="auto"/>
          <w:szCs w:val="21"/>
          <w:highlight w:val="none"/>
        </w:rPr>
        <w:t>日</w:t>
      </w:r>
    </w:p>
    <w:p w14:paraId="154EBB40">
      <w:pPr>
        <w:pStyle w:val="3"/>
        <w:ind w:left="0" w:firstLine="0" w:firstLineChars="0"/>
        <w:rPr>
          <w:rFonts w:hint="eastAsia" w:ascii="宋体" w:hAnsi="宋体" w:cs="宋体"/>
          <w:b/>
          <w:bCs/>
          <w:color w:val="auto"/>
          <w:sz w:val="22"/>
          <w:szCs w:val="22"/>
          <w:highlight w:val="none"/>
        </w:rPr>
      </w:pPr>
      <w:r>
        <w:rPr>
          <w:rFonts w:hint="eastAsia" w:ascii="宋体" w:hAnsi="宋体" w:cs="宋体"/>
          <w:b/>
          <w:bCs/>
          <w:color w:val="auto"/>
          <w:highlight w:val="none"/>
        </w:rPr>
        <w:br w:type="page"/>
      </w:r>
      <w:r>
        <w:rPr>
          <w:rFonts w:hint="eastAsia" w:ascii="宋体" w:hAnsi="宋体" w:cs="宋体"/>
          <w:b/>
          <w:bCs/>
          <w:color w:val="auto"/>
          <w:sz w:val="22"/>
          <w:szCs w:val="22"/>
          <w:highlight w:val="none"/>
        </w:rPr>
        <w:t xml:space="preserve">附件六 </w:t>
      </w:r>
    </w:p>
    <w:p w14:paraId="1F71CD8B">
      <w:pPr>
        <w:spacing w:line="380" w:lineRule="exact"/>
        <w:rPr>
          <w:rFonts w:hint="eastAsia" w:ascii="宋体" w:hAnsi="宋体" w:cs="宋体"/>
          <w:b/>
          <w:bCs/>
          <w:color w:val="auto"/>
          <w:sz w:val="22"/>
          <w:szCs w:val="22"/>
          <w:highlight w:val="none"/>
        </w:rPr>
      </w:pPr>
    </w:p>
    <w:p w14:paraId="1E080221">
      <w:pPr>
        <w:spacing w:line="500" w:lineRule="exact"/>
        <w:rPr>
          <w:rFonts w:hint="eastAsia" w:ascii="宋体" w:hAnsi="宋体" w:cs="宋体"/>
          <w:b/>
          <w:color w:val="auto"/>
          <w:sz w:val="22"/>
          <w:szCs w:val="22"/>
          <w:highlight w:val="none"/>
          <w:u w:val="single"/>
        </w:rPr>
      </w:pPr>
    </w:p>
    <w:p w14:paraId="088E6F22">
      <w:pPr>
        <w:jc w:val="center"/>
        <w:rPr>
          <w:rFonts w:ascii="宋体" w:hAnsi="宋体"/>
          <w:b/>
          <w:color w:val="auto"/>
          <w:spacing w:val="6"/>
          <w:sz w:val="22"/>
          <w:szCs w:val="22"/>
          <w:highlight w:val="none"/>
        </w:rPr>
      </w:pPr>
      <w:r>
        <w:rPr>
          <w:rFonts w:hint="eastAsia" w:ascii="宋体" w:hAnsi="宋体"/>
          <w:b/>
          <w:color w:val="auto"/>
          <w:spacing w:val="6"/>
          <w:sz w:val="22"/>
          <w:szCs w:val="22"/>
          <w:highlight w:val="none"/>
        </w:rPr>
        <w:t>国企采购活动现场确认声明书</w:t>
      </w:r>
    </w:p>
    <w:p w14:paraId="27E04486">
      <w:pPr>
        <w:tabs>
          <w:tab w:val="left" w:pos="795"/>
          <w:tab w:val="center" w:pos="4873"/>
        </w:tabs>
        <w:overflowPunct w:val="0"/>
        <w:spacing w:line="460" w:lineRule="exact"/>
        <w:ind w:firstLine="118" w:firstLineChars="49"/>
        <w:jc w:val="left"/>
        <w:rPr>
          <w:rFonts w:ascii="宋体" w:hAnsi="宋体" w:cs="Arial"/>
          <w:b/>
          <w:bCs/>
          <w:color w:val="auto"/>
          <w:sz w:val="24"/>
          <w:highlight w:val="none"/>
        </w:rPr>
      </w:pPr>
    </w:p>
    <w:p w14:paraId="200CCBBD">
      <w:pPr>
        <w:pStyle w:val="91"/>
        <w:widowControl w:val="0"/>
        <w:snapToGrid w:val="0"/>
        <w:spacing w:line="440" w:lineRule="exact"/>
        <w:jc w:val="both"/>
        <w:rPr>
          <w:rFonts w:hint="default" w:hAnsi="宋体"/>
          <w:b/>
          <w:color w:val="auto"/>
          <w:spacing w:val="6"/>
          <w:sz w:val="22"/>
          <w:szCs w:val="22"/>
          <w:highlight w:val="none"/>
          <w:u w:val="single"/>
        </w:rPr>
      </w:pPr>
      <w:r>
        <w:rPr>
          <w:rFonts w:hAnsi="宋体"/>
          <w:b/>
          <w:color w:val="auto"/>
          <w:spacing w:val="6"/>
          <w:sz w:val="22"/>
          <w:szCs w:val="22"/>
          <w:highlight w:val="none"/>
          <w:u w:val="single"/>
        </w:rPr>
        <w:t>温州交运集团汽车服务有限公司</w:t>
      </w:r>
      <w:r>
        <w:rPr>
          <w:rFonts w:hAnsi="宋体"/>
          <w:b/>
          <w:color w:val="auto"/>
          <w:spacing w:val="6"/>
          <w:sz w:val="22"/>
          <w:szCs w:val="22"/>
          <w:highlight w:val="none"/>
        </w:rPr>
        <w:t>：</w:t>
      </w:r>
    </w:p>
    <w:p w14:paraId="54640D10">
      <w:pPr>
        <w:pStyle w:val="91"/>
        <w:widowControl w:val="0"/>
        <w:snapToGrid w:val="0"/>
        <w:spacing w:line="440" w:lineRule="exact"/>
        <w:jc w:val="both"/>
        <w:rPr>
          <w:rFonts w:hint="default" w:hAnsi="宋体"/>
          <w:b/>
          <w:color w:val="auto"/>
          <w:spacing w:val="6"/>
          <w:sz w:val="22"/>
          <w:szCs w:val="22"/>
          <w:highlight w:val="none"/>
          <w:u w:val="single"/>
        </w:rPr>
      </w:pPr>
      <w:r>
        <w:rPr>
          <w:rFonts w:hint="eastAsia" w:hAnsi="宋体"/>
          <w:b/>
          <w:color w:val="auto"/>
          <w:spacing w:val="6"/>
          <w:sz w:val="22"/>
          <w:szCs w:val="22"/>
          <w:highlight w:val="none"/>
          <w:u w:val="single"/>
          <w:lang w:eastAsia="zh-CN"/>
        </w:rPr>
        <w:t>浙江恒杰工程管理有限公司</w:t>
      </w:r>
      <w:r>
        <w:rPr>
          <w:rFonts w:hAnsi="宋体"/>
          <w:b/>
          <w:color w:val="auto"/>
          <w:kern w:val="0"/>
          <w:sz w:val="22"/>
          <w:szCs w:val="22"/>
          <w:highlight w:val="none"/>
        </w:rPr>
        <w:t>：</w:t>
      </w:r>
    </w:p>
    <w:p w14:paraId="3045F548">
      <w:pPr>
        <w:pStyle w:val="91"/>
        <w:widowControl w:val="0"/>
        <w:snapToGrid w:val="0"/>
        <w:spacing w:line="440" w:lineRule="exact"/>
        <w:ind w:firstLine="464" w:firstLineChars="200"/>
        <w:jc w:val="both"/>
        <w:rPr>
          <w:rFonts w:hint="default" w:hAnsi="宋体"/>
          <w:color w:val="auto"/>
          <w:spacing w:val="6"/>
          <w:sz w:val="22"/>
          <w:szCs w:val="22"/>
          <w:highlight w:val="none"/>
        </w:rPr>
      </w:pPr>
      <w:r>
        <w:rPr>
          <w:rFonts w:hAnsi="宋体"/>
          <w:color w:val="auto"/>
          <w:spacing w:val="6"/>
          <w:sz w:val="22"/>
          <w:szCs w:val="22"/>
          <w:highlight w:val="none"/>
        </w:rPr>
        <w:t>本人经由</w:t>
      </w:r>
      <w:r>
        <w:rPr>
          <w:rFonts w:hAnsi="宋体"/>
          <w:color w:val="auto"/>
          <w:spacing w:val="6"/>
          <w:sz w:val="22"/>
          <w:szCs w:val="22"/>
          <w:highlight w:val="none"/>
          <w:u w:val="single"/>
        </w:rPr>
        <w:t xml:space="preserve">                       （单位）</w:t>
      </w:r>
      <w:r>
        <w:rPr>
          <w:rFonts w:hAnsi="宋体"/>
          <w:color w:val="auto"/>
          <w:spacing w:val="6"/>
          <w:sz w:val="22"/>
          <w:szCs w:val="22"/>
          <w:highlight w:val="none"/>
        </w:rPr>
        <w:t>负责人</w:t>
      </w:r>
      <w:r>
        <w:rPr>
          <w:rFonts w:hAnsi="宋体"/>
          <w:color w:val="auto"/>
          <w:spacing w:val="6"/>
          <w:sz w:val="22"/>
          <w:szCs w:val="22"/>
          <w:highlight w:val="none"/>
          <w:u w:val="single"/>
        </w:rPr>
        <w:t xml:space="preserve">          （姓名）</w:t>
      </w:r>
      <w:r>
        <w:rPr>
          <w:rFonts w:hAnsi="宋体"/>
          <w:color w:val="auto"/>
          <w:spacing w:val="6"/>
          <w:sz w:val="22"/>
          <w:szCs w:val="22"/>
          <w:highlight w:val="none"/>
        </w:rPr>
        <w:t>合法授权</w:t>
      </w:r>
      <w:r>
        <w:rPr>
          <w:rFonts w:hint="eastAsia" w:hAnsi="宋体"/>
          <w:color w:val="auto"/>
          <w:spacing w:val="6"/>
          <w:sz w:val="22"/>
          <w:szCs w:val="22"/>
          <w:highlight w:val="none"/>
          <w:u w:val="single"/>
          <w:lang w:eastAsia="zh-CN"/>
        </w:rPr>
        <w:t>蓝牌登高车（重2）</w:t>
      </w:r>
      <w:r>
        <w:rPr>
          <w:rFonts w:hAnsi="宋体"/>
          <w:color w:val="auto"/>
          <w:spacing w:val="6"/>
          <w:sz w:val="22"/>
          <w:szCs w:val="22"/>
          <w:highlight w:val="none"/>
        </w:rPr>
        <w:t>（编号：</w:t>
      </w:r>
      <w:r>
        <w:rPr>
          <w:rFonts w:hint="eastAsia" w:hAnsi="宋体"/>
          <w:color w:val="auto"/>
          <w:spacing w:val="6"/>
          <w:sz w:val="22"/>
          <w:szCs w:val="22"/>
          <w:highlight w:val="none"/>
          <w:u w:val="single"/>
          <w:lang w:eastAsia="zh-CN"/>
        </w:rPr>
        <w:t>WGSS-JYJT-Z-2025037（重2）</w:t>
      </w:r>
      <w:r>
        <w:rPr>
          <w:rFonts w:hAnsi="宋体"/>
          <w:color w:val="auto"/>
          <w:spacing w:val="6"/>
          <w:sz w:val="22"/>
          <w:szCs w:val="22"/>
          <w:highlight w:val="none"/>
        </w:rPr>
        <w:t xml:space="preserve">）国企采购活动，经与本单位法人代表（负责人）联系确认，现就有关公平竞争事项郑重声明如下： </w:t>
      </w:r>
    </w:p>
    <w:p w14:paraId="6F04F87F">
      <w:pPr>
        <w:pStyle w:val="80"/>
        <w:widowControl/>
        <w:numPr>
          <w:ilvl w:val="0"/>
          <w:numId w:val="34"/>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 xml:space="preserve">本单位与采购人之间 </w:t>
      </w:r>
      <w:r>
        <w:rPr>
          <w:rFonts w:ascii="宋体" w:hAnsi="宋体" w:cs="宋体"/>
          <w:color w:val="auto"/>
          <w:kern w:val="0"/>
          <w:sz w:val="22"/>
          <w:szCs w:val="22"/>
          <w:highlight w:val="none"/>
        </w:rPr>
        <w:t>□</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035BC9BC">
      <w:pPr>
        <w:pStyle w:val="80"/>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A.投资关系    B.行政隶属关系    C.业务指导关系</w:t>
      </w:r>
    </w:p>
    <w:p w14:paraId="3C6A6882">
      <w:pPr>
        <w:pStyle w:val="80"/>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D.其他可能</w:t>
      </w:r>
      <w:r>
        <w:rPr>
          <w:rFonts w:ascii="宋体" w:hAnsi="宋体"/>
          <w:color w:val="auto"/>
          <w:sz w:val="22"/>
          <w:szCs w:val="22"/>
          <w:highlight w:val="none"/>
        </w:rPr>
        <w:t>影响采购公正的</w:t>
      </w:r>
      <w:r>
        <w:rPr>
          <w:rFonts w:ascii="宋体" w:hAnsi="宋体"/>
          <w:color w:val="auto"/>
          <w:kern w:val="0"/>
          <w:sz w:val="22"/>
          <w:szCs w:val="22"/>
          <w:highlight w:val="none"/>
        </w:rPr>
        <w:t>利害关系</w:t>
      </w:r>
      <w:r>
        <w:rPr>
          <w:rFonts w:ascii="宋体" w:hAnsi="宋体"/>
          <w:color w:val="auto"/>
          <w:kern w:val="0"/>
          <w:sz w:val="22"/>
          <w:szCs w:val="22"/>
          <w:highlight w:val="none"/>
          <w:u w:val="single"/>
        </w:rPr>
        <w:t xml:space="preserve">（如有，请如实说明）                 </w:t>
      </w:r>
      <w:r>
        <w:rPr>
          <w:rFonts w:ascii="宋体" w:hAnsi="宋体"/>
          <w:color w:val="auto"/>
          <w:kern w:val="0"/>
          <w:sz w:val="22"/>
          <w:szCs w:val="22"/>
          <w:highlight w:val="none"/>
        </w:rPr>
        <w:t>。</w:t>
      </w:r>
    </w:p>
    <w:p w14:paraId="6165F7D0">
      <w:pPr>
        <w:pStyle w:val="80"/>
        <w:widowControl/>
        <w:snapToGrid w:val="0"/>
        <w:spacing w:line="440" w:lineRule="exact"/>
        <w:rPr>
          <w:rFonts w:hint="default" w:ascii="宋体" w:hAnsi="宋体"/>
          <w:color w:val="auto"/>
          <w:kern w:val="0"/>
          <w:sz w:val="22"/>
          <w:szCs w:val="22"/>
          <w:highlight w:val="none"/>
        </w:rPr>
      </w:pPr>
      <w:r>
        <w:rPr>
          <w:rFonts w:ascii="宋体" w:hAnsi="宋体"/>
          <w:color w:val="auto"/>
          <w:spacing w:val="6"/>
          <w:sz w:val="22"/>
          <w:szCs w:val="22"/>
          <w:highlight w:val="none"/>
        </w:rPr>
        <w:t xml:space="preserve">  二、</w:t>
      </w:r>
      <w:r>
        <w:rPr>
          <w:rFonts w:ascii="宋体" w:hAnsi="宋体"/>
          <w:color w:val="auto"/>
          <w:kern w:val="0"/>
          <w:sz w:val="22"/>
          <w:szCs w:val="22"/>
          <w:highlight w:val="none"/>
        </w:rPr>
        <w:t xml:space="preserve">现已清楚知道参加本项目采购活动的其他所有投标人名称，本单位 </w:t>
      </w:r>
      <w:r>
        <w:rPr>
          <w:rFonts w:ascii="宋体" w:hAnsi="宋体" w:cs="宋体"/>
          <w:color w:val="auto"/>
          <w:kern w:val="0"/>
          <w:sz w:val="22"/>
          <w:szCs w:val="22"/>
          <w:highlight w:val="none"/>
        </w:rPr>
        <w:t>□与其他所有投标人之间均</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□与</w:t>
      </w:r>
      <w:r>
        <w:rPr>
          <w:rFonts w:ascii="宋体" w:hAnsi="宋体" w:cs="宋体"/>
          <w:color w:val="auto"/>
          <w:kern w:val="0"/>
          <w:sz w:val="22"/>
          <w:szCs w:val="22"/>
          <w:highlight w:val="none"/>
          <w:u w:val="single"/>
        </w:rPr>
        <w:t xml:space="preserve">           （投标人名称）</w:t>
      </w:r>
      <w:r>
        <w:rPr>
          <w:rFonts w:ascii="宋体" w:hAnsi="宋体" w:cs="宋体"/>
          <w:color w:val="auto"/>
          <w:kern w:val="0"/>
          <w:sz w:val="22"/>
          <w:szCs w:val="22"/>
          <w:highlight w:val="none"/>
        </w:rPr>
        <w:t>之间</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5982C7B8">
      <w:pPr>
        <w:pStyle w:val="91"/>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A.法定代表人或负责人或实际控制人是同一人</w:t>
      </w:r>
    </w:p>
    <w:p w14:paraId="228AC957">
      <w:pPr>
        <w:pStyle w:val="91"/>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B.法定代表人或负责人或实际控制人是夫妻关系</w:t>
      </w:r>
    </w:p>
    <w:p w14:paraId="34980273">
      <w:pPr>
        <w:pStyle w:val="91"/>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C.法定代表人或负责人或实际控制人是直系血亲关系</w:t>
      </w:r>
    </w:p>
    <w:p w14:paraId="403C98C3">
      <w:pPr>
        <w:pStyle w:val="91"/>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D.法定代表人或负责人或实际控制人存在三代以内旁系血亲关系</w:t>
      </w:r>
    </w:p>
    <w:p w14:paraId="3B3E94AB">
      <w:pPr>
        <w:pStyle w:val="91"/>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E.法定代表人或负责人或实际控制人存在近姻亲关系</w:t>
      </w:r>
    </w:p>
    <w:p w14:paraId="564D305D">
      <w:pPr>
        <w:pStyle w:val="91"/>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F.法定代表人或负责人或实际控制人存在股份控制或实际控制关系</w:t>
      </w:r>
    </w:p>
    <w:p w14:paraId="25A85E15">
      <w:pPr>
        <w:pStyle w:val="91"/>
        <w:widowControl w:val="0"/>
        <w:snapToGrid w:val="0"/>
        <w:spacing w:line="440" w:lineRule="exact"/>
        <w:jc w:val="both"/>
        <w:outlineLvl w:val="0"/>
        <w:rPr>
          <w:rFonts w:hint="default" w:hAnsi="宋体"/>
          <w:color w:val="auto"/>
          <w:kern w:val="0"/>
          <w:sz w:val="22"/>
          <w:szCs w:val="22"/>
          <w:highlight w:val="none"/>
        </w:rPr>
      </w:pPr>
      <w:r>
        <w:rPr>
          <w:rFonts w:hAnsi="宋体"/>
          <w:color w:val="auto"/>
          <w:kern w:val="0"/>
          <w:sz w:val="22"/>
          <w:szCs w:val="22"/>
          <w:highlight w:val="none"/>
        </w:rPr>
        <w:t xml:space="preserve">  </w:t>
      </w:r>
      <w:bookmarkStart w:id="189" w:name="_Toc43827503"/>
      <w:bookmarkStart w:id="190" w:name="_Toc16722"/>
      <w:bookmarkStart w:id="191" w:name="_Toc7728"/>
      <w:bookmarkStart w:id="192" w:name="_Toc22301"/>
      <w:r>
        <w:rPr>
          <w:rFonts w:hAnsi="宋体"/>
          <w:color w:val="auto"/>
          <w:kern w:val="0"/>
          <w:sz w:val="22"/>
          <w:szCs w:val="22"/>
          <w:highlight w:val="none"/>
        </w:rPr>
        <w:t>G.存在共同直接或间接投资设立子公司、联营企业和合营企业情况</w:t>
      </w:r>
      <w:bookmarkEnd w:id="189"/>
      <w:bookmarkEnd w:id="190"/>
      <w:bookmarkEnd w:id="191"/>
      <w:bookmarkEnd w:id="192"/>
    </w:p>
    <w:p w14:paraId="26379508">
      <w:pPr>
        <w:pStyle w:val="91"/>
        <w:widowControl w:val="0"/>
        <w:snapToGrid w:val="0"/>
        <w:spacing w:line="440" w:lineRule="exact"/>
        <w:jc w:val="both"/>
        <w:rPr>
          <w:rFonts w:hint="default" w:hAnsi="宋体"/>
          <w:color w:val="auto"/>
          <w:sz w:val="22"/>
          <w:szCs w:val="22"/>
          <w:highlight w:val="none"/>
        </w:rPr>
      </w:pPr>
      <w:r>
        <w:rPr>
          <w:rFonts w:hAnsi="宋体"/>
          <w:color w:val="auto"/>
          <w:kern w:val="0"/>
          <w:sz w:val="22"/>
          <w:szCs w:val="22"/>
          <w:highlight w:val="none"/>
        </w:rPr>
        <w:t xml:space="preserve">  H.存在分级代理或代销关系、同一生产制造商关系、</w:t>
      </w:r>
      <w:r>
        <w:rPr>
          <w:rFonts w:hAnsi="宋体"/>
          <w:color w:val="auto"/>
          <w:sz w:val="22"/>
          <w:szCs w:val="22"/>
          <w:highlight w:val="none"/>
        </w:rPr>
        <w:t>管理关系、重要业务（占主营业务收入50%以上）或重要财务往来关系（如融资）等其他实质性控制关系</w:t>
      </w:r>
    </w:p>
    <w:p w14:paraId="125E73DE">
      <w:pPr>
        <w:pStyle w:val="91"/>
        <w:widowControl w:val="0"/>
        <w:snapToGrid w:val="0"/>
        <w:spacing w:line="440" w:lineRule="exact"/>
        <w:jc w:val="both"/>
        <w:rPr>
          <w:rFonts w:hint="default" w:hAnsi="宋体"/>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Ansi="宋体"/>
          <w:color w:val="auto"/>
          <w:sz w:val="22"/>
          <w:szCs w:val="22"/>
          <w:highlight w:val="none"/>
        </w:rPr>
        <w:t>其他利害关系情况</w:t>
      </w:r>
      <w:r>
        <w:rPr>
          <w:rFonts w:hAnsi="宋体"/>
          <w:color w:val="auto"/>
          <w:sz w:val="22"/>
          <w:szCs w:val="22"/>
          <w:highlight w:val="none"/>
          <w:u w:val="single"/>
        </w:rPr>
        <w:t xml:space="preserve">                              </w:t>
      </w:r>
      <w:r>
        <w:rPr>
          <w:rFonts w:hAnsi="宋体"/>
          <w:color w:val="auto"/>
          <w:kern w:val="0"/>
          <w:sz w:val="22"/>
          <w:szCs w:val="22"/>
          <w:highlight w:val="none"/>
        </w:rPr>
        <w:t>。</w:t>
      </w:r>
    </w:p>
    <w:p w14:paraId="560A760D">
      <w:pPr>
        <w:pStyle w:val="80"/>
        <w:widowControl/>
        <w:numPr>
          <w:ilvl w:val="0"/>
          <w:numId w:val="35"/>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sz w:val="22"/>
          <w:szCs w:val="22"/>
          <w:highlight w:val="none"/>
        </w:rPr>
        <w:t>现已清楚知道并</w:t>
      </w:r>
      <w:r>
        <w:rPr>
          <w:rFonts w:ascii="宋体" w:hAnsi="宋体"/>
          <w:color w:val="auto"/>
          <w:kern w:val="0"/>
          <w:sz w:val="22"/>
          <w:szCs w:val="22"/>
          <w:highlight w:val="none"/>
        </w:rPr>
        <w:t>严格遵守国企采购法律法规和现场纪律。</w:t>
      </w:r>
    </w:p>
    <w:p w14:paraId="5165CCF4">
      <w:pPr>
        <w:pStyle w:val="80"/>
        <w:widowControl/>
        <w:numPr>
          <w:ilvl w:val="0"/>
          <w:numId w:val="35"/>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我发现</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投标人之间存在或可能存在上述第二条第</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项利害关系。</w:t>
      </w:r>
    </w:p>
    <w:p w14:paraId="0A320065">
      <w:pPr>
        <w:pStyle w:val="91"/>
        <w:widowControl w:val="0"/>
        <w:snapToGrid w:val="0"/>
        <w:spacing w:line="440" w:lineRule="exact"/>
        <w:ind w:firstLine="440" w:firstLineChars="200"/>
        <w:jc w:val="both"/>
        <w:rPr>
          <w:rFonts w:hint="default" w:hAnsi="宋体"/>
          <w:color w:val="auto"/>
          <w:sz w:val="22"/>
          <w:szCs w:val="22"/>
          <w:highlight w:val="none"/>
        </w:rPr>
      </w:pPr>
    </w:p>
    <w:p w14:paraId="7C6255B7">
      <w:pPr>
        <w:pStyle w:val="91"/>
        <w:widowControl w:val="0"/>
        <w:snapToGrid w:val="0"/>
        <w:spacing w:line="440" w:lineRule="exact"/>
        <w:ind w:firstLine="440" w:firstLineChars="200"/>
        <w:jc w:val="both"/>
        <w:rPr>
          <w:rFonts w:hint="default" w:hAnsi="宋体"/>
          <w:color w:val="auto"/>
          <w:sz w:val="22"/>
          <w:szCs w:val="22"/>
          <w:highlight w:val="none"/>
        </w:rPr>
      </w:pPr>
      <w:r>
        <w:rPr>
          <w:rFonts w:hAnsi="宋体"/>
          <w:color w:val="auto"/>
          <w:sz w:val="22"/>
          <w:szCs w:val="22"/>
          <w:highlight w:val="none"/>
        </w:rPr>
        <w:t xml:space="preserve">                                投标人代表签名：</w:t>
      </w:r>
    </w:p>
    <w:p w14:paraId="42E8F849">
      <w:pPr>
        <w:pStyle w:val="91"/>
        <w:widowControl w:val="0"/>
        <w:snapToGrid w:val="0"/>
        <w:spacing w:line="440" w:lineRule="exact"/>
        <w:ind w:firstLine="440" w:firstLineChars="200"/>
        <w:jc w:val="both"/>
        <w:rPr>
          <w:color w:val="auto"/>
          <w:highlight w:val="none"/>
        </w:rPr>
      </w:pPr>
      <w:r>
        <w:rPr>
          <w:rFonts w:hAnsi="宋体"/>
          <w:color w:val="auto"/>
          <w:sz w:val="22"/>
          <w:szCs w:val="22"/>
          <w:highlight w:val="none"/>
        </w:rPr>
        <w:t xml:space="preserve">                                    年   月   日</w:t>
      </w:r>
      <w:r>
        <w:rPr>
          <w:rFonts w:hAnsi="宋体"/>
          <w:color w:val="auto"/>
          <w:highlight w:val="none"/>
        </w:rPr>
        <w:t xml:space="preserve"> </w:t>
      </w:r>
    </w:p>
    <w:sectPr>
      <w:headerReference r:id="rId3" w:type="default"/>
      <w:footerReference r:id="rId4" w:type="default"/>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3000509000000000000"/>
    <w:charset w:val="00"/>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hakuyoxingshu7000">
    <w:altName w:val="SimSun-ExtG"/>
    <w:panose1 w:val="02000600000000000000"/>
    <w:charset w:val="00"/>
    <w:family w:val="auto"/>
    <w:pitch w:val="default"/>
    <w:sig w:usb0="00000000" w:usb1="00000000" w:usb2="0000003F" w:usb3="00000000" w:csb0="603F00FF" w:csb1="FFFF0000"/>
  </w:font>
  <w:font w:name="SimSun-ExtG">
    <w:panose1 w:val="02010609060101010101"/>
    <w:charset w:val="86"/>
    <w:family w:val="auto"/>
    <w:pitch w:val="default"/>
    <w:sig w:usb0="00000001" w:usb1="02000000" w:usb2="00000000"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6C22">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7AB1C">
                          <w:pPr>
                            <w:pStyle w:val="25"/>
                            <w:jc w:val="center"/>
                          </w:pPr>
                          <w:r>
                            <w:fldChar w:fldCharType="begin"/>
                          </w:r>
                          <w:r>
                            <w:instrText xml:space="preserve"> PAGE   \* MERGEFORMAT </w:instrText>
                          </w:r>
                          <w:r>
                            <w:fldChar w:fldCharType="separate"/>
                          </w:r>
                          <w:r>
                            <w:rPr>
                              <w:lang w:val="zh-CN"/>
                            </w:rP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4D07AB1C">
                    <w:pPr>
                      <w:pStyle w:val="25"/>
                      <w:jc w:val="center"/>
                    </w:pPr>
                    <w:r>
                      <w:fldChar w:fldCharType="begin"/>
                    </w:r>
                    <w:r>
                      <w:instrText xml:space="preserve"> PAGE   \* MERGEFORMAT </w:instrText>
                    </w:r>
                    <w:r>
                      <w:fldChar w:fldCharType="separate"/>
                    </w:r>
                    <w:r>
                      <w:rPr>
                        <w:lang w:val="zh-CN"/>
                      </w:rPr>
                      <w:t>36</w:t>
                    </w:r>
                    <w:r>
                      <w:fldChar w:fldCharType="end"/>
                    </w:r>
                  </w:p>
                </w:txbxContent>
              </v:textbox>
            </v:shape>
          </w:pict>
        </mc:Fallback>
      </mc:AlternateContent>
    </w:r>
  </w:p>
  <w:p w14:paraId="007A1E48">
    <w:pPr>
      <w:pStyle w:val="25"/>
    </w:pPr>
  </w:p>
  <w:p w14:paraId="5B91A1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8DC4">
    <w:pPr>
      <w:pStyle w:val="27"/>
      <w:jc w:val="both"/>
      <w:rPr>
        <w:rFonts w:hint="eastAsia" w:ascii="宋体" w:hAnsi="宋体"/>
      </w:rPr>
    </w:pPr>
    <w:r>
      <w:rPr>
        <w:rFonts w:hint="eastAsia" w:ascii="宋体" w:hAnsi="宋体"/>
      </w:rPr>
      <w:t>温州市国有企业采购文件</w:t>
    </w:r>
  </w:p>
  <w:p w14:paraId="4D709CD8">
    <w:pPr>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3266F"/>
    <w:multiLevelType w:val="singleLevel"/>
    <w:tmpl w:val="8263266F"/>
    <w:lvl w:ilvl="0" w:tentative="0">
      <w:start w:val="1"/>
      <w:numFmt w:val="decimal"/>
      <w:suff w:val="nothing"/>
      <w:lvlText w:val="%1）"/>
      <w:lvlJc w:val="left"/>
      <w:pPr>
        <w:ind w:left="7"/>
      </w:pPr>
    </w:lvl>
  </w:abstractNum>
  <w:abstractNum w:abstractNumId="1">
    <w:nsid w:val="A8A9EFC4"/>
    <w:multiLevelType w:val="singleLevel"/>
    <w:tmpl w:val="A8A9EFC4"/>
    <w:lvl w:ilvl="0" w:tentative="0">
      <w:start w:val="3"/>
      <w:numFmt w:val="chineseCounting"/>
      <w:suff w:val="space"/>
      <w:lvlText w:val="第%1部分"/>
      <w:lvlJc w:val="left"/>
      <w:rPr>
        <w:rFonts w:hint="eastAsia"/>
      </w:rPr>
    </w:lvl>
  </w:abstractNum>
  <w:abstractNum w:abstractNumId="2">
    <w:nsid w:val="CCB3DB7B"/>
    <w:multiLevelType w:val="multilevel"/>
    <w:tmpl w:val="CCB3DB7B"/>
    <w:lvl w:ilvl="0" w:tentative="0">
      <w:start w:val="1"/>
      <w:numFmt w:val="decimal"/>
      <w:lvlText w:val="%1."/>
      <w:lvlJc w:val="left"/>
      <w:pPr>
        <w:tabs>
          <w:tab w:val="left" w:pos="420"/>
        </w:tabs>
        <w:ind w:left="420" w:hanging="420"/>
      </w:pPr>
      <w:rPr>
        <w:rFonts w:hint="default" w:ascii="新宋体" w:hAnsi="新宋体" w:eastAsia="新宋体" w:cs="黑体"/>
        <w:b/>
        <w:bCs/>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D10D60C3"/>
    <w:multiLevelType w:val="singleLevel"/>
    <w:tmpl w:val="D10D60C3"/>
    <w:lvl w:ilvl="0" w:tentative="0">
      <w:start w:val="1"/>
      <w:numFmt w:val="decimal"/>
      <w:suff w:val="nothing"/>
      <w:lvlText w:val="%1、"/>
      <w:lvlJc w:val="left"/>
    </w:lvl>
  </w:abstractNum>
  <w:abstractNum w:abstractNumId="4">
    <w:nsid w:val="E163C644"/>
    <w:multiLevelType w:val="singleLevel"/>
    <w:tmpl w:val="E163C644"/>
    <w:lvl w:ilvl="0" w:tentative="0">
      <w:start w:val="1"/>
      <w:numFmt w:val="chineseCounting"/>
      <w:suff w:val="nothing"/>
      <w:lvlText w:val="（%1）"/>
      <w:lvlJc w:val="left"/>
      <w:rPr>
        <w:rFonts w:hint="eastAsia"/>
      </w:rPr>
    </w:lvl>
  </w:abstractNum>
  <w:abstractNum w:abstractNumId="5">
    <w:nsid w:val="00000001"/>
    <w:multiLevelType w:val="multilevel"/>
    <w:tmpl w:val="00000001"/>
    <w:lvl w:ilvl="0" w:tentative="0">
      <w:start w:val="1"/>
      <w:numFmt w:val="decimal"/>
      <w:lvlText w:val="（%1）"/>
      <w:lvlJc w:val="left"/>
      <w:pPr>
        <w:tabs>
          <w:tab w:val="left" w:pos="420"/>
        </w:tabs>
        <w:ind w:left="420" w:hanging="420"/>
      </w:pPr>
      <w:rPr>
        <w:rFonts w:hint="default" w:ascii="Times New Roman" w:hAnsi="Times New Roman" w:cs="Tahoma"/>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2"/>
    <w:multiLevelType w:val="multilevel"/>
    <w:tmpl w:val="00000002"/>
    <w:lvl w:ilvl="0" w:tentative="0">
      <w:start w:val="1"/>
      <w:numFmt w:val="decimal"/>
      <w:lvlText w:val="%1)"/>
      <w:lvlJc w:val="left"/>
      <w:pPr>
        <w:tabs>
          <w:tab w:val="left" w:pos="780"/>
        </w:tabs>
        <w:ind w:left="78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multilevel"/>
    <w:tmpl w:val="00000004"/>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00000006"/>
    <w:multiLevelType w:val="multilevel"/>
    <w:tmpl w:val="00000006"/>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8"/>
    <w:multiLevelType w:val="multilevel"/>
    <w:tmpl w:val="00000008"/>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0">
    <w:nsid w:val="0000000A"/>
    <w:multiLevelType w:val="multilevel"/>
    <w:tmpl w:val="0000000A"/>
    <w:lvl w:ilvl="0" w:tentative="0">
      <w:start w:val="1"/>
      <w:numFmt w:val="bullet"/>
      <w:pStyle w:val="65"/>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0C"/>
    <w:multiLevelType w:val="multilevel"/>
    <w:tmpl w:val="0000000C"/>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0D"/>
    <w:multiLevelType w:val="multilevel"/>
    <w:tmpl w:val="0000000D"/>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0000000F"/>
    <w:multiLevelType w:val="multilevel"/>
    <w:tmpl w:val="0000000F"/>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4">
    <w:nsid w:val="00000015"/>
    <w:multiLevelType w:val="multilevel"/>
    <w:tmpl w:val="00000015"/>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6"/>
    <w:multiLevelType w:val="multilevel"/>
    <w:tmpl w:val="00000016"/>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7"/>
    <w:multiLevelType w:val="multilevel"/>
    <w:tmpl w:val="00000017"/>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9"/>
    <w:multiLevelType w:val="multilevel"/>
    <w:tmpl w:val="00000019"/>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9">
    <w:nsid w:val="0000001D"/>
    <w:multiLevelType w:val="multilevel"/>
    <w:tmpl w:val="0000001D"/>
    <w:lvl w:ilvl="0" w:tentative="0">
      <w:start w:val="1"/>
      <w:numFmt w:val="none"/>
      <w:lvlText w:val=""/>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000001F"/>
    <w:multiLevelType w:val="multilevel"/>
    <w:tmpl w:val="0000001F"/>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1">
    <w:nsid w:val="00000024"/>
    <w:multiLevelType w:val="multilevel"/>
    <w:tmpl w:val="00000024"/>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00000026"/>
    <w:multiLevelType w:val="multilevel"/>
    <w:tmpl w:val="00000026"/>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7"/>
    <w:multiLevelType w:val="multilevel"/>
    <w:tmpl w:val="0000002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00000028"/>
    <w:multiLevelType w:val="multilevel"/>
    <w:tmpl w:val="00000028"/>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0000002B"/>
    <w:multiLevelType w:val="multilevel"/>
    <w:tmpl w:val="0000002B"/>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29F73718"/>
    <w:multiLevelType w:val="singleLevel"/>
    <w:tmpl w:val="29F73718"/>
    <w:lvl w:ilvl="0" w:tentative="0">
      <w:start w:val="1"/>
      <w:numFmt w:val="decimal"/>
      <w:lvlText w:val="%1)"/>
      <w:lvlJc w:val="left"/>
      <w:pPr>
        <w:ind w:left="425" w:hanging="425"/>
      </w:pPr>
      <w:rPr>
        <w:rFonts w:hint="default"/>
      </w:rPr>
    </w:lvl>
  </w:abstractNum>
  <w:abstractNum w:abstractNumId="27">
    <w:nsid w:val="2A4789ED"/>
    <w:multiLevelType w:val="singleLevel"/>
    <w:tmpl w:val="2A4789ED"/>
    <w:lvl w:ilvl="0" w:tentative="0">
      <w:start w:val="1"/>
      <w:numFmt w:val="chineseCounting"/>
      <w:suff w:val="nothing"/>
      <w:lvlText w:val="%1、"/>
      <w:lvlJc w:val="left"/>
      <w:pPr>
        <w:ind w:left="0" w:firstLine="420"/>
      </w:pPr>
      <w:rPr>
        <w:rFonts w:hint="eastAsia"/>
      </w:rPr>
    </w:lvl>
  </w:abstractNum>
  <w:abstractNum w:abstractNumId="28">
    <w:nsid w:val="41546862"/>
    <w:multiLevelType w:val="multilevel"/>
    <w:tmpl w:val="41546862"/>
    <w:lvl w:ilvl="0" w:tentative="0">
      <w:start w:val="1"/>
      <w:numFmt w:val="decimal"/>
      <w:lvlText w:val="%1、"/>
      <w:lvlJc w:val="left"/>
      <w:pPr>
        <w:ind w:left="862" w:hanging="360"/>
      </w:pPr>
      <w:rPr>
        <w:rFonts w:hint="default"/>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29">
    <w:nsid w:val="41AB0963"/>
    <w:multiLevelType w:val="singleLevel"/>
    <w:tmpl w:val="41AB0963"/>
    <w:lvl w:ilvl="0" w:tentative="0">
      <w:start w:val="1"/>
      <w:numFmt w:val="decimal"/>
      <w:lvlText w:val="%1."/>
      <w:lvlJc w:val="left"/>
      <w:pPr>
        <w:ind w:left="425" w:hanging="425"/>
      </w:pPr>
      <w:rPr>
        <w:rFonts w:hint="default"/>
      </w:rPr>
    </w:lvl>
  </w:abstractNum>
  <w:abstractNum w:abstractNumId="30">
    <w:nsid w:val="45DC5E2A"/>
    <w:multiLevelType w:val="multilevel"/>
    <w:tmpl w:val="45DC5E2A"/>
    <w:lvl w:ilvl="0" w:tentative="0">
      <w:start w:val="1"/>
      <w:numFmt w:val="decimal"/>
      <w:lvlText w:val="%1."/>
      <w:lvlJc w:val="left"/>
      <w:pPr>
        <w:tabs>
          <w:tab w:val="left" w:pos="0"/>
        </w:tabs>
        <w:ind w:left="805" w:hanging="420"/>
      </w:pPr>
    </w:lvl>
    <w:lvl w:ilvl="1" w:tentative="0">
      <w:start w:val="1"/>
      <w:numFmt w:val="lowerLetter"/>
      <w:lvlText w:val="%2)"/>
      <w:lvlJc w:val="left"/>
      <w:pPr>
        <w:tabs>
          <w:tab w:val="left" w:pos="0"/>
        </w:tabs>
        <w:ind w:left="1225" w:hanging="420"/>
      </w:pPr>
    </w:lvl>
    <w:lvl w:ilvl="2" w:tentative="0">
      <w:start w:val="1"/>
      <w:numFmt w:val="lowerRoman"/>
      <w:lvlText w:val="%3."/>
      <w:lvlJc w:val="right"/>
      <w:pPr>
        <w:tabs>
          <w:tab w:val="left" w:pos="0"/>
        </w:tabs>
        <w:ind w:left="1645" w:hanging="420"/>
      </w:pPr>
    </w:lvl>
    <w:lvl w:ilvl="3" w:tentative="0">
      <w:start w:val="1"/>
      <w:numFmt w:val="decimal"/>
      <w:lvlText w:val="%4."/>
      <w:lvlJc w:val="left"/>
      <w:pPr>
        <w:tabs>
          <w:tab w:val="left" w:pos="0"/>
        </w:tabs>
        <w:ind w:left="2065" w:hanging="420"/>
      </w:pPr>
    </w:lvl>
    <w:lvl w:ilvl="4" w:tentative="0">
      <w:start w:val="1"/>
      <w:numFmt w:val="lowerLetter"/>
      <w:lvlText w:val="%5)"/>
      <w:lvlJc w:val="left"/>
      <w:pPr>
        <w:tabs>
          <w:tab w:val="left" w:pos="0"/>
        </w:tabs>
        <w:ind w:left="2485" w:hanging="420"/>
      </w:pPr>
    </w:lvl>
    <w:lvl w:ilvl="5" w:tentative="0">
      <w:start w:val="1"/>
      <w:numFmt w:val="lowerRoman"/>
      <w:lvlText w:val="%6."/>
      <w:lvlJc w:val="right"/>
      <w:pPr>
        <w:tabs>
          <w:tab w:val="left" w:pos="0"/>
        </w:tabs>
        <w:ind w:left="2905" w:hanging="420"/>
      </w:pPr>
    </w:lvl>
    <w:lvl w:ilvl="6" w:tentative="0">
      <w:start w:val="1"/>
      <w:numFmt w:val="decimal"/>
      <w:lvlText w:val="%7."/>
      <w:lvlJc w:val="left"/>
      <w:pPr>
        <w:tabs>
          <w:tab w:val="left" w:pos="0"/>
        </w:tabs>
        <w:ind w:left="3325" w:hanging="420"/>
      </w:pPr>
    </w:lvl>
    <w:lvl w:ilvl="7" w:tentative="0">
      <w:start w:val="1"/>
      <w:numFmt w:val="lowerLetter"/>
      <w:lvlText w:val="%8)"/>
      <w:lvlJc w:val="left"/>
      <w:pPr>
        <w:tabs>
          <w:tab w:val="left" w:pos="0"/>
        </w:tabs>
        <w:ind w:left="3745" w:hanging="420"/>
      </w:pPr>
    </w:lvl>
    <w:lvl w:ilvl="8" w:tentative="0">
      <w:start w:val="1"/>
      <w:numFmt w:val="lowerRoman"/>
      <w:lvlText w:val="%9."/>
      <w:lvlJc w:val="right"/>
      <w:pPr>
        <w:tabs>
          <w:tab w:val="left" w:pos="0"/>
        </w:tabs>
        <w:ind w:left="4165" w:hanging="420"/>
      </w:pPr>
    </w:lvl>
  </w:abstractNum>
  <w:abstractNum w:abstractNumId="31">
    <w:nsid w:val="52C8EA0D"/>
    <w:multiLevelType w:val="singleLevel"/>
    <w:tmpl w:val="52C8EA0D"/>
    <w:lvl w:ilvl="0" w:tentative="0">
      <w:start w:val="7"/>
      <w:numFmt w:val="decimal"/>
      <w:suff w:val="nothing"/>
      <w:lvlText w:val="%1."/>
      <w:lvlJc w:val="left"/>
    </w:lvl>
  </w:abstractNum>
  <w:abstractNum w:abstractNumId="32">
    <w:nsid w:val="54F403B5"/>
    <w:multiLevelType w:val="singleLevel"/>
    <w:tmpl w:val="54F403B5"/>
    <w:lvl w:ilvl="0" w:tentative="0">
      <w:start w:val="1"/>
      <w:numFmt w:val="chineseCounting"/>
      <w:suff w:val="nothing"/>
      <w:lvlText w:val="%1、"/>
      <w:lvlJc w:val="left"/>
      <w:pPr>
        <w:ind w:left="0" w:firstLine="0"/>
      </w:pPr>
    </w:lvl>
  </w:abstractNum>
  <w:abstractNum w:abstractNumId="33">
    <w:nsid w:val="557FD3DA"/>
    <w:multiLevelType w:val="singleLevel"/>
    <w:tmpl w:val="557FD3DA"/>
    <w:lvl w:ilvl="0" w:tentative="0">
      <w:start w:val="3"/>
      <w:numFmt w:val="chineseCounting"/>
      <w:suff w:val="nothing"/>
      <w:lvlText w:val="%1、"/>
      <w:lvlJc w:val="left"/>
      <w:pPr>
        <w:ind w:left="0" w:firstLine="0"/>
      </w:pPr>
    </w:lvl>
  </w:abstractNum>
  <w:abstractNum w:abstractNumId="34">
    <w:nsid w:val="6B1D1232"/>
    <w:multiLevelType w:val="multilevel"/>
    <w:tmpl w:val="6B1D1232"/>
    <w:lvl w:ilvl="0" w:tentative="0">
      <w:start w:val="1"/>
      <w:numFmt w:val="chineseCountingThousand"/>
      <w:lvlText w:val="第%1条"/>
      <w:lvlJc w:val="left"/>
      <w:pPr>
        <w:tabs>
          <w:tab w:val="left" w:pos="5217"/>
        </w:tabs>
        <w:ind w:left="5217" w:hanging="680"/>
      </w:pPr>
      <w:rPr>
        <w:rFonts w:hint="default"/>
        <w:b/>
        <w:i w:val="0"/>
        <w:sz w:val="24"/>
        <w:lang w:val="en-GB"/>
      </w:rPr>
    </w:lvl>
    <w:lvl w:ilvl="1" w:tentative="0">
      <w:start w:val="1"/>
      <w:numFmt w:val="decimal"/>
      <w:pStyle w:val="78"/>
      <w:isLgl/>
      <w:lvlText w:val="%1.%2"/>
      <w:lvlJc w:val="left"/>
      <w:pPr>
        <w:tabs>
          <w:tab w:val="left" w:pos="680"/>
        </w:tabs>
        <w:ind w:left="680" w:hanging="680"/>
      </w:pPr>
      <w:rPr>
        <w:rFonts w:hint="default"/>
        <w:b/>
        <w:i w:val="0"/>
        <w:color w:val="auto"/>
        <w:sz w:val="24"/>
      </w:rPr>
    </w:lvl>
    <w:lvl w:ilvl="2" w:tentative="0">
      <w:start w:val="1"/>
      <w:numFmt w:val="decimal"/>
      <w:isLgl/>
      <w:lvlText w:val="%1.%2.%3"/>
      <w:lvlJc w:val="left"/>
      <w:pPr>
        <w:tabs>
          <w:tab w:val="left" w:pos="1361"/>
        </w:tabs>
        <w:ind w:left="1361" w:hanging="681"/>
      </w:pPr>
      <w:rPr>
        <w:rFonts w:hint="default"/>
        <w:b/>
        <w:i w:val="0"/>
        <w:color w:val="auto"/>
        <w:spacing w:val="-20"/>
        <w:sz w:val="22"/>
      </w:rPr>
    </w:lvl>
    <w:lvl w:ilvl="3" w:tentative="0">
      <w:start w:val="1"/>
      <w:numFmt w:val="lowerRoman"/>
      <w:lvlText w:val="(%4)"/>
      <w:lvlJc w:val="left"/>
      <w:pPr>
        <w:tabs>
          <w:tab w:val="left" w:pos="2041"/>
        </w:tabs>
        <w:ind w:left="2041" w:hanging="680"/>
      </w:pPr>
      <w:rPr>
        <w:rFonts w:hint="default"/>
      </w:rPr>
    </w:lvl>
    <w:lvl w:ilvl="4" w:tentative="0">
      <w:start w:val="1"/>
      <w:numFmt w:val="lowerLetter"/>
      <w:lvlText w:val="(%5)"/>
      <w:lvlJc w:val="left"/>
      <w:pPr>
        <w:tabs>
          <w:tab w:val="left" w:pos="2007"/>
        </w:tabs>
        <w:ind w:left="2007" w:hanging="567"/>
      </w:pPr>
      <w:rPr>
        <w:rFonts w:hint="default"/>
      </w:rPr>
    </w:lvl>
    <w:lvl w:ilvl="5" w:tentative="0">
      <w:start w:val="1"/>
      <w:numFmt w:val="upperRoman"/>
      <w:lvlText w:val="(%6)"/>
      <w:lvlJc w:val="left"/>
      <w:pPr>
        <w:tabs>
          <w:tab w:val="left" w:pos="3288"/>
        </w:tabs>
        <w:ind w:left="3288" w:hanging="680"/>
      </w:pPr>
      <w:rPr>
        <w:rFonts w:hint="default"/>
      </w:rPr>
    </w:lvl>
    <w:lvl w:ilvl="6" w:tentative="0">
      <w:start w:val="1"/>
      <w:numFmt w:val="none"/>
      <w:lvlText w:val=""/>
      <w:lvlJc w:val="left"/>
      <w:pPr>
        <w:tabs>
          <w:tab w:val="left" w:pos="3288"/>
        </w:tabs>
        <w:ind w:left="3288" w:hanging="680"/>
      </w:pPr>
      <w:rPr>
        <w:rFonts w:hint="default"/>
      </w:rPr>
    </w:lvl>
    <w:lvl w:ilvl="7" w:tentative="0">
      <w:start w:val="1"/>
      <w:numFmt w:val="none"/>
      <w:lvlText w:val=""/>
      <w:lvlJc w:val="left"/>
      <w:pPr>
        <w:tabs>
          <w:tab w:val="left" w:pos="3288"/>
        </w:tabs>
        <w:ind w:left="3288" w:hanging="680"/>
      </w:pPr>
      <w:rPr>
        <w:rFonts w:hint="default"/>
      </w:rPr>
    </w:lvl>
    <w:lvl w:ilvl="8" w:tentative="0">
      <w:start w:val="1"/>
      <w:numFmt w:val="none"/>
      <w:lvlText w:val=""/>
      <w:lvlJc w:val="left"/>
      <w:pPr>
        <w:tabs>
          <w:tab w:val="left" w:pos="3288"/>
        </w:tabs>
        <w:ind w:left="3288" w:hanging="680"/>
      </w:pPr>
      <w:rPr>
        <w:rFonts w:hint="default"/>
      </w:rPr>
    </w:lvl>
  </w:abstractNum>
  <w:num w:numId="1">
    <w:abstractNumId w:val="1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8"/>
  </w:num>
  <w:num w:numId="4">
    <w:abstractNumId w:val="27"/>
  </w:num>
  <w:num w:numId="5">
    <w:abstractNumId w:val="4"/>
  </w:num>
  <w:num w:numId="6">
    <w:abstractNumId w:val="13"/>
  </w:num>
  <w:num w:numId="7">
    <w:abstractNumId w:val="12"/>
  </w:num>
  <w:num w:numId="8">
    <w:abstractNumId w:val="9"/>
  </w:num>
  <w:num w:numId="9">
    <w:abstractNumId w:val="24"/>
  </w:num>
  <w:num w:numId="10">
    <w:abstractNumId w:val="6"/>
  </w:num>
  <w:num w:numId="11">
    <w:abstractNumId w:val="17"/>
  </w:num>
  <w:num w:numId="12">
    <w:abstractNumId w:val="19"/>
  </w:num>
  <w:num w:numId="13">
    <w:abstractNumId w:val="11"/>
  </w:num>
  <w:num w:numId="14">
    <w:abstractNumId w:val="23"/>
  </w:num>
  <w:num w:numId="15">
    <w:abstractNumId w:val="18"/>
  </w:num>
  <w:num w:numId="16">
    <w:abstractNumId w:val="21"/>
  </w:num>
  <w:num w:numId="17">
    <w:abstractNumId w:val="7"/>
  </w:num>
  <w:num w:numId="18">
    <w:abstractNumId w:val="16"/>
  </w:num>
  <w:num w:numId="19">
    <w:abstractNumId w:val="20"/>
  </w:num>
  <w:num w:numId="20">
    <w:abstractNumId w:val="15"/>
  </w:num>
  <w:num w:numId="21">
    <w:abstractNumId w:val="14"/>
  </w:num>
  <w:num w:numId="22">
    <w:abstractNumId w:val="22"/>
  </w:num>
  <w:num w:numId="23">
    <w:abstractNumId w:val="5"/>
  </w:num>
  <w:num w:numId="24">
    <w:abstractNumId w:val="25"/>
  </w:num>
  <w:num w:numId="25">
    <w:abstractNumId w:val="8"/>
  </w:num>
  <w:num w:numId="26">
    <w:abstractNumId w:val="2"/>
  </w:num>
  <w:num w:numId="27">
    <w:abstractNumId w:val="29"/>
  </w:num>
  <w:num w:numId="28">
    <w:abstractNumId w:val="26"/>
  </w:num>
  <w:num w:numId="29">
    <w:abstractNumId w:val="1"/>
  </w:num>
  <w:num w:numId="30">
    <w:abstractNumId w:val="31"/>
  </w:num>
  <w:num w:numId="31">
    <w:abstractNumId w:val="30"/>
  </w:num>
  <w:num w:numId="32">
    <w:abstractNumId w:val="3"/>
  </w:num>
  <w:num w:numId="33">
    <w:abstractNumId w:val="0"/>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NjQzNGY3NTQwMTE4ZmQ1NWI4ZTZlYjgwODI3NGMifQ=="/>
  </w:docVars>
  <w:rsids>
    <w:rsidRoot w:val="00172A27"/>
    <w:rsid w:val="000009F5"/>
    <w:rsid w:val="00001380"/>
    <w:rsid w:val="00002CB1"/>
    <w:rsid w:val="0000340D"/>
    <w:rsid w:val="00003A66"/>
    <w:rsid w:val="00005043"/>
    <w:rsid w:val="000053C0"/>
    <w:rsid w:val="00005E2A"/>
    <w:rsid w:val="000066EF"/>
    <w:rsid w:val="00006E3C"/>
    <w:rsid w:val="00010F67"/>
    <w:rsid w:val="00011067"/>
    <w:rsid w:val="0001120F"/>
    <w:rsid w:val="0001322E"/>
    <w:rsid w:val="00014C8E"/>
    <w:rsid w:val="00015251"/>
    <w:rsid w:val="000157E0"/>
    <w:rsid w:val="00016969"/>
    <w:rsid w:val="00017CFF"/>
    <w:rsid w:val="000237A7"/>
    <w:rsid w:val="000238E0"/>
    <w:rsid w:val="00023A93"/>
    <w:rsid w:val="00024929"/>
    <w:rsid w:val="00025CDD"/>
    <w:rsid w:val="00026538"/>
    <w:rsid w:val="00026C3B"/>
    <w:rsid w:val="00030937"/>
    <w:rsid w:val="000345EB"/>
    <w:rsid w:val="00034BF8"/>
    <w:rsid w:val="00035490"/>
    <w:rsid w:val="00035750"/>
    <w:rsid w:val="00035BA0"/>
    <w:rsid w:val="00035BB6"/>
    <w:rsid w:val="00035CCB"/>
    <w:rsid w:val="00035E87"/>
    <w:rsid w:val="00035F6F"/>
    <w:rsid w:val="00040402"/>
    <w:rsid w:val="00041329"/>
    <w:rsid w:val="00042E2F"/>
    <w:rsid w:val="0005052D"/>
    <w:rsid w:val="000506B4"/>
    <w:rsid w:val="00051166"/>
    <w:rsid w:val="000515F3"/>
    <w:rsid w:val="00052EC4"/>
    <w:rsid w:val="00053B42"/>
    <w:rsid w:val="000548DE"/>
    <w:rsid w:val="00054D5C"/>
    <w:rsid w:val="00054FC6"/>
    <w:rsid w:val="000560AE"/>
    <w:rsid w:val="00060505"/>
    <w:rsid w:val="000611E3"/>
    <w:rsid w:val="000622C1"/>
    <w:rsid w:val="0006286C"/>
    <w:rsid w:val="0006334B"/>
    <w:rsid w:val="00063E50"/>
    <w:rsid w:val="0006448F"/>
    <w:rsid w:val="00066DA0"/>
    <w:rsid w:val="000722C5"/>
    <w:rsid w:val="00072310"/>
    <w:rsid w:val="0007247B"/>
    <w:rsid w:val="00073304"/>
    <w:rsid w:val="00074B78"/>
    <w:rsid w:val="0008019F"/>
    <w:rsid w:val="000803DE"/>
    <w:rsid w:val="00081E28"/>
    <w:rsid w:val="0008207A"/>
    <w:rsid w:val="00082463"/>
    <w:rsid w:val="000832C8"/>
    <w:rsid w:val="000853D3"/>
    <w:rsid w:val="000861D1"/>
    <w:rsid w:val="00087F08"/>
    <w:rsid w:val="000930EA"/>
    <w:rsid w:val="00094254"/>
    <w:rsid w:val="0009425F"/>
    <w:rsid w:val="00095314"/>
    <w:rsid w:val="000968BD"/>
    <w:rsid w:val="00096ABD"/>
    <w:rsid w:val="000A1983"/>
    <w:rsid w:val="000A20B7"/>
    <w:rsid w:val="000A328D"/>
    <w:rsid w:val="000A4DF8"/>
    <w:rsid w:val="000A5466"/>
    <w:rsid w:val="000A5ADF"/>
    <w:rsid w:val="000A63F5"/>
    <w:rsid w:val="000A7715"/>
    <w:rsid w:val="000A7842"/>
    <w:rsid w:val="000B09D6"/>
    <w:rsid w:val="000B1182"/>
    <w:rsid w:val="000B1199"/>
    <w:rsid w:val="000B329E"/>
    <w:rsid w:val="000B36A7"/>
    <w:rsid w:val="000B3735"/>
    <w:rsid w:val="000B5341"/>
    <w:rsid w:val="000B5A18"/>
    <w:rsid w:val="000B5DD6"/>
    <w:rsid w:val="000B5FCA"/>
    <w:rsid w:val="000B6DFD"/>
    <w:rsid w:val="000C362B"/>
    <w:rsid w:val="000C6761"/>
    <w:rsid w:val="000C6EB6"/>
    <w:rsid w:val="000C7809"/>
    <w:rsid w:val="000C7CBF"/>
    <w:rsid w:val="000D0E22"/>
    <w:rsid w:val="000D4A4C"/>
    <w:rsid w:val="000D73D9"/>
    <w:rsid w:val="000E10DB"/>
    <w:rsid w:val="000E2A62"/>
    <w:rsid w:val="000E3530"/>
    <w:rsid w:val="000E39D6"/>
    <w:rsid w:val="000E6B70"/>
    <w:rsid w:val="000E75FB"/>
    <w:rsid w:val="000F0294"/>
    <w:rsid w:val="000F1FBE"/>
    <w:rsid w:val="000F2728"/>
    <w:rsid w:val="000F3619"/>
    <w:rsid w:val="000F6410"/>
    <w:rsid w:val="000F79A4"/>
    <w:rsid w:val="000F7AE5"/>
    <w:rsid w:val="000F7C73"/>
    <w:rsid w:val="00101644"/>
    <w:rsid w:val="00101AC0"/>
    <w:rsid w:val="001020F4"/>
    <w:rsid w:val="001030C6"/>
    <w:rsid w:val="00103AD8"/>
    <w:rsid w:val="0010568D"/>
    <w:rsid w:val="001064A6"/>
    <w:rsid w:val="0010684A"/>
    <w:rsid w:val="00112030"/>
    <w:rsid w:val="0011478A"/>
    <w:rsid w:val="001156FE"/>
    <w:rsid w:val="00115E23"/>
    <w:rsid w:val="00123BAD"/>
    <w:rsid w:val="00123E7C"/>
    <w:rsid w:val="001263CA"/>
    <w:rsid w:val="001265A0"/>
    <w:rsid w:val="001266BF"/>
    <w:rsid w:val="00127F4D"/>
    <w:rsid w:val="00130AF0"/>
    <w:rsid w:val="00131E83"/>
    <w:rsid w:val="0013221F"/>
    <w:rsid w:val="001325EF"/>
    <w:rsid w:val="00132C17"/>
    <w:rsid w:val="00133211"/>
    <w:rsid w:val="00134351"/>
    <w:rsid w:val="001367AF"/>
    <w:rsid w:val="0013760C"/>
    <w:rsid w:val="00137753"/>
    <w:rsid w:val="001377FC"/>
    <w:rsid w:val="00137F40"/>
    <w:rsid w:val="00140223"/>
    <w:rsid w:val="00143117"/>
    <w:rsid w:val="00143A6A"/>
    <w:rsid w:val="0014546D"/>
    <w:rsid w:val="00146114"/>
    <w:rsid w:val="0014791A"/>
    <w:rsid w:val="00150AA7"/>
    <w:rsid w:val="00152443"/>
    <w:rsid w:val="001528EB"/>
    <w:rsid w:val="00155310"/>
    <w:rsid w:val="00156F66"/>
    <w:rsid w:val="001601F3"/>
    <w:rsid w:val="0016030B"/>
    <w:rsid w:val="00161AF3"/>
    <w:rsid w:val="00161CFC"/>
    <w:rsid w:val="00161EA2"/>
    <w:rsid w:val="00162A58"/>
    <w:rsid w:val="00162E8F"/>
    <w:rsid w:val="001632E9"/>
    <w:rsid w:val="00163C20"/>
    <w:rsid w:val="001671DC"/>
    <w:rsid w:val="0016795B"/>
    <w:rsid w:val="0017045C"/>
    <w:rsid w:val="0017187B"/>
    <w:rsid w:val="0017498A"/>
    <w:rsid w:val="00174EB3"/>
    <w:rsid w:val="00175520"/>
    <w:rsid w:val="00180634"/>
    <w:rsid w:val="001831C1"/>
    <w:rsid w:val="00183F0E"/>
    <w:rsid w:val="00184846"/>
    <w:rsid w:val="00186674"/>
    <w:rsid w:val="001866ED"/>
    <w:rsid w:val="00186E54"/>
    <w:rsid w:val="00187CAD"/>
    <w:rsid w:val="00191D9B"/>
    <w:rsid w:val="00192E60"/>
    <w:rsid w:val="00193B17"/>
    <w:rsid w:val="0019491C"/>
    <w:rsid w:val="0019588E"/>
    <w:rsid w:val="00195B99"/>
    <w:rsid w:val="00195C4F"/>
    <w:rsid w:val="00196551"/>
    <w:rsid w:val="00197748"/>
    <w:rsid w:val="00197786"/>
    <w:rsid w:val="00197E7B"/>
    <w:rsid w:val="001A08CC"/>
    <w:rsid w:val="001A0B61"/>
    <w:rsid w:val="001A2495"/>
    <w:rsid w:val="001A30EE"/>
    <w:rsid w:val="001A370B"/>
    <w:rsid w:val="001A57CB"/>
    <w:rsid w:val="001A57FA"/>
    <w:rsid w:val="001A6C5A"/>
    <w:rsid w:val="001B1B9B"/>
    <w:rsid w:val="001B2696"/>
    <w:rsid w:val="001B28CB"/>
    <w:rsid w:val="001B335C"/>
    <w:rsid w:val="001B45D2"/>
    <w:rsid w:val="001B4606"/>
    <w:rsid w:val="001B5B34"/>
    <w:rsid w:val="001C0431"/>
    <w:rsid w:val="001C239E"/>
    <w:rsid w:val="001C2F81"/>
    <w:rsid w:val="001C5EFC"/>
    <w:rsid w:val="001C6F26"/>
    <w:rsid w:val="001D11DE"/>
    <w:rsid w:val="001D21A8"/>
    <w:rsid w:val="001D29FB"/>
    <w:rsid w:val="001D2CF5"/>
    <w:rsid w:val="001D3384"/>
    <w:rsid w:val="001D63C0"/>
    <w:rsid w:val="001D6B9A"/>
    <w:rsid w:val="001D711C"/>
    <w:rsid w:val="001D76AB"/>
    <w:rsid w:val="001E013B"/>
    <w:rsid w:val="001E0520"/>
    <w:rsid w:val="001E376F"/>
    <w:rsid w:val="001E726C"/>
    <w:rsid w:val="001E7C71"/>
    <w:rsid w:val="001F169F"/>
    <w:rsid w:val="001F24A5"/>
    <w:rsid w:val="001F362D"/>
    <w:rsid w:val="001F3B6E"/>
    <w:rsid w:val="001F430D"/>
    <w:rsid w:val="001F5985"/>
    <w:rsid w:val="001F69BE"/>
    <w:rsid w:val="00200121"/>
    <w:rsid w:val="00201E84"/>
    <w:rsid w:val="00201FC4"/>
    <w:rsid w:val="00205213"/>
    <w:rsid w:val="00210979"/>
    <w:rsid w:val="00211497"/>
    <w:rsid w:val="00212117"/>
    <w:rsid w:val="002136D4"/>
    <w:rsid w:val="00213866"/>
    <w:rsid w:val="00214475"/>
    <w:rsid w:val="002161A6"/>
    <w:rsid w:val="00216C1E"/>
    <w:rsid w:val="00216E04"/>
    <w:rsid w:val="00217E22"/>
    <w:rsid w:val="00220A8C"/>
    <w:rsid w:val="00220B37"/>
    <w:rsid w:val="00221867"/>
    <w:rsid w:val="00221D45"/>
    <w:rsid w:val="00221D63"/>
    <w:rsid w:val="002225DC"/>
    <w:rsid w:val="002241B4"/>
    <w:rsid w:val="00224B8F"/>
    <w:rsid w:val="00225F76"/>
    <w:rsid w:val="00226492"/>
    <w:rsid w:val="00227916"/>
    <w:rsid w:val="00231563"/>
    <w:rsid w:val="00231733"/>
    <w:rsid w:val="002352A0"/>
    <w:rsid w:val="002357FB"/>
    <w:rsid w:val="002358F4"/>
    <w:rsid w:val="002376C6"/>
    <w:rsid w:val="00240C65"/>
    <w:rsid w:val="00240D05"/>
    <w:rsid w:val="00241F03"/>
    <w:rsid w:val="00242271"/>
    <w:rsid w:val="00242A63"/>
    <w:rsid w:val="00242B3E"/>
    <w:rsid w:val="00243AC5"/>
    <w:rsid w:val="00243B0E"/>
    <w:rsid w:val="00244F16"/>
    <w:rsid w:val="002461EE"/>
    <w:rsid w:val="00246422"/>
    <w:rsid w:val="0024766D"/>
    <w:rsid w:val="0024772A"/>
    <w:rsid w:val="00250036"/>
    <w:rsid w:val="00251A22"/>
    <w:rsid w:val="0025244C"/>
    <w:rsid w:val="00254330"/>
    <w:rsid w:val="00254A99"/>
    <w:rsid w:val="00256997"/>
    <w:rsid w:val="00256D8D"/>
    <w:rsid w:val="00260378"/>
    <w:rsid w:val="00262E17"/>
    <w:rsid w:val="00263C46"/>
    <w:rsid w:val="002652D9"/>
    <w:rsid w:val="002659A6"/>
    <w:rsid w:val="0026651F"/>
    <w:rsid w:val="00266CE8"/>
    <w:rsid w:val="0026723C"/>
    <w:rsid w:val="00272CB0"/>
    <w:rsid w:val="00273BA2"/>
    <w:rsid w:val="002740B9"/>
    <w:rsid w:val="00275C95"/>
    <w:rsid w:val="0027661D"/>
    <w:rsid w:val="002770B7"/>
    <w:rsid w:val="00277460"/>
    <w:rsid w:val="002804CE"/>
    <w:rsid w:val="00280A65"/>
    <w:rsid w:val="00280FEF"/>
    <w:rsid w:val="0028109A"/>
    <w:rsid w:val="00281DDC"/>
    <w:rsid w:val="00281FBE"/>
    <w:rsid w:val="00282FD5"/>
    <w:rsid w:val="00283114"/>
    <w:rsid w:val="002835DD"/>
    <w:rsid w:val="00286DD8"/>
    <w:rsid w:val="0029043C"/>
    <w:rsid w:val="00291B72"/>
    <w:rsid w:val="00291D32"/>
    <w:rsid w:val="00292455"/>
    <w:rsid w:val="00292814"/>
    <w:rsid w:val="00293606"/>
    <w:rsid w:val="00294454"/>
    <w:rsid w:val="00295F60"/>
    <w:rsid w:val="0029658E"/>
    <w:rsid w:val="00297173"/>
    <w:rsid w:val="00297E08"/>
    <w:rsid w:val="002A051B"/>
    <w:rsid w:val="002A4A0D"/>
    <w:rsid w:val="002A6BD5"/>
    <w:rsid w:val="002B038E"/>
    <w:rsid w:val="002B1C31"/>
    <w:rsid w:val="002B2154"/>
    <w:rsid w:val="002B41F4"/>
    <w:rsid w:val="002B4A6A"/>
    <w:rsid w:val="002B4D23"/>
    <w:rsid w:val="002B5B35"/>
    <w:rsid w:val="002C26CC"/>
    <w:rsid w:val="002C3295"/>
    <w:rsid w:val="002C4012"/>
    <w:rsid w:val="002C6AE5"/>
    <w:rsid w:val="002D1214"/>
    <w:rsid w:val="002D3563"/>
    <w:rsid w:val="002D3D89"/>
    <w:rsid w:val="002D6CCA"/>
    <w:rsid w:val="002D7D4C"/>
    <w:rsid w:val="002E09BA"/>
    <w:rsid w:val="002E12E1"/>
    <w:rsid w:val="002E1F1D"/>
    <w:rsid w:val="002E3588"/>
    <w:rsid w:val="002E414F"/>
    <w:rsid w:val="002E4D98"/>
    <w:rsid w:val="002E4FC2"/>
    <w:rsid w:val="002E621E"/>
    <w:rsid w:val="002E7FC6"/>
    <w:rsid w:val="002F2128"/>
    <w:rsid w:val="002F2CC3"/>
    <w:rsid w:val="002F31D8"/>
    <w:rsid w:val="002F4CE2"/>
    <w:rsid w:val="002F4EE5"/>
    <w:rsid w:val="002F6F42"/>
    <w:rsid w:val="0030021B"/>
    <w:rsid w:val="003005E8"/>
    <w:rsid w:val="00300D84"/>
    <w:rsid w:val="003051A4"/>
    <w:rsid w:val="00306C91"/>
    <w:rsid w:val="00307EEB"/>
    <w:rsid w:val="00307F4F"/>
    <w:rsid w:val="00310B99"/>
    <w:rsid w:val="0031148A"/>
    <w:rsid w:val="00311CAC"/>
    <w:rsid w:val="00313693"/>
    <w:rsid w:val="00314DC2"/>
    <w:rsid w:val="00314E14"/>
    <w:rsid w:val="0031541C"/>
    <w:rsid w:val="00315C51"/>
    <w:rsid w:val="00316675"/>
    <w:rsid w:val="00316A41"/>
    <w:rsid w:val="003202BA"/>
    <w:rsid w:val="003205E8"/>
    <w:rsid w:val="0032241D"/>
    <w:rsid w:val="003227D9"/>
    <w:rsid w:val="00325D8E"/>
    <w:rsid w:val="0032712D"/>
    <w:rsid w:val="003276D1"/>
    <w:rsid w:val="003316FD"/>
    <w:rsid w:val="00331756"/>
    <w:rsid w:val="00333B48"/>
    <w:rsid w:val="00334E84"/>
    <w:rsid w:val="00335FD1"/>
    <w:rsid w:val="0033603E"/>
    <w:rsid w:val="003409C2"/>
    <w:rsid w:val="00341BF5"/>
    <w:rsid w:val="0034506F"/>
    <w:rsid w:val="00346D10"/>
    <w:rsid w:val="00347593"/>
    <w:rsid w:val="003475ED"/>
    <w:rsid w:val="00347A0A"/>
    <w:rsid w:val="00350B66"/>
    <w:rsid w:val="00350E2E"/>
    <w:rsid w:val="003527E3"/>
    <w:rsid w:val="003564E1"/>
    <w:rsid w:val="00356C77"/>
    <w:rsid w:val="00356D20"/>
    <w:rsid w:val="00360BC0"/>
    <w:rsid w:val="00361E7B"/>
    <w:rsid w:val="00362A3D"/>
    <w:rsid w:val="00364206"/>
    <w:rsid w:val="003676A9"/>
    <w:rsid w:val="003706F7"/>
    <w:rsid w:val="00371787"/>
    <w:rsid w:val="00371850"/>
    <w:rsid w:val="00371F2C"/>
    <w:rsid w:val="00372732"/>
    <w:rsid w:val="00372A07"/>
    <w:rsid w:val="00372CDC"/>
    <w:rsid w:val="00372D8B"/>
    <w:rsid w:val="0037534C"/>
    <w:rsid w:val="0037541E"/>
    <w:rsid w:val="00375AEB"/>
    <w:rsid w:val="0037609C"/>
    <w:rsid w:val="003802B8"/>
    <w:rsid w:val="00381DB0"/>
    <w:rsid w:val="00383814"/>
    <w:rsid w:val="00383844"/>
    <w:rsid w:val="00384395"/>
    <w:rsid w:val="00384768"/>
    <w:rsid w:val="0038509B"/>
    <w:rsid w:val="00385288"/>
    <w:rsid w:val="00385F49"/>
    <w:rsid w:val="00385FF4"/>
    <w:rsid w:val="00390522"/>
    <w:rsid w:val="00391BB8"/>
    <w:rsid w:val="00391F5D"/>
    <w:rsid w:val="00395497"/>
    <w:rsid w:val="003A0DB0"/>
    <w:rsid w:val="003A10E2"/>
    <w:rsid w:val="003A1B28"/>
    <w:rsid w:val="003A445D"/>
    <w:rsid w:val="003A4479"/>
    <w:rsid w:val="003A5399"/>
    <w:rsid w:val="003A5B10"/>
    <w:rsid w:val="003A5FE4"/>
    <w:rsid w:val="003A6AC6"/>
    <w:rsid w:val="003A6F84"/>
    <w:rsid w:val="003A7329"/>
    <w:rsid w:val="003B0436"/>
    <w:rsid w:val="003B0B28"/>
    <w:rsid w:val="003B134F"/>
    <w:rsid w:val="003B2058"/>
    <w:rsid w:val="003B316A"/>
    <w:rsid w:val="003B4F56"/>
    <w:rsid w:val="003B5792"/>
    <w:rsid w:val="003B5C88"/>
    <w:rsid w:val="003B69CA"/>
    <w:rsid w:val="003B7911"/>
    <w:rsid w:val="003C1C86"/>
    <w:rsid w:val="003C22CE"/>
    <w:rsid w:val="003C2511"/>
    <w:rsid w:val="003C5025"/>
    <w:rsid w:val="003C527B"/>
    <w:rsid w:val="003C5441"/>
    <w:rsid w:val="003C5F9D"/>
    <w:rsid w:val="003C66ED"/>
    <w:rsid w:val="003C6940"/>
    <w:rsid w:val="003C7017"/>
    <w:rsid w:val="003C7F0C"/>
    <w:rsid w:val="003D06B1"/>
    <w:rsid w:val="003D0900"/>
    <w:rsid w:val="003D1EC8"/>
    <w:rsid w:val="003D49ED"/>
    <w:rsid w:val="003D7CE8"/>
    <w:rsid w:val="003E1388"/>
    <w:rsid w:val="003E1FB3"/>
    <w:rsid w:val="003E25BE"/>
    <w:rsid w:val="003E31BF"/>
    <w:rsid w:val="003E31FB"/>
    <w:rsid w:val="003E3905"/>
    <w:rsid w:val="003E3CFF"/>
    <w:rsid w:val="003E50DF"/>
    <w:rsid w:val="003E73A5"/>
    <w:rsid w:val="003E7E19"/>
    <w:rsid w:val="003F1618"/>
    <w:rsid w:val="003F1DEC"/>
    <w:rsid w:val="003F21CF"/>
    <w:rsid w:val="003F279A"/>
    <w:rsid w:val="003F3104"/>
    <w:rsid w:val="003F46CF"/>
    <w:rsid w:val="003F5868"/>
    <w:rsid w:val="003F6C73"/>
    <w:rsid w:val="00400383"/>
    <w:rsid w:val="00401278"/>
    <w:rsid w:val="0040168C"/>
    <w:rsid w:val="00401AFB"/>
    <w:rsid w:val="00403D22"/>
    <w:rsid w:val="00404353"/>
    <w:rsid w:val="00406893"/>
    <w:rsid w:val="00407A5F"/>
    <w:rsid w:val="004107BC"/>
    <w:rsid w:val="00410D1B"/>
    <w:rsid w:val="00412274"/>
    <w:rsid w:val="00412C8D"/>
    <w:rsid w:val="00412D71"/>
    <w:rsid w:val="00413B2D"/>
    <w:rsid w:val="00415935"/>
    <w:rsid w:val="00415D57"/>
    <w:rsid w:val="004179AC"/>
    <w:rsid w:val="00420438"/>
    <w:rsid w:val="00420A03"/>
    <w:rsid w:val="0042103B"/>
    <w:rsid w:val="00421DA6"/>
    <w:rsid w:val="00422035"/>
    <w:rsid w:val="00424BCF"/>
    <w:rsid w:val="00425EA7"/>
    <w:rsid w:val="00426C0F"/>
    <w:rsid w:val="00426CD8"/>
    <w:rsid w:val="00426F87"/>
    <w:rsid w:val="0042780F"/>
    <w:rsid w:val="004336E3"/>
    <w:rsid w:val="0043374D"/>
    <w:rsid w:val="00434D28"/>
    <w:rsid w:val="004366E2"/>
    <w:rsid w:val="00437627"/>
    <w:rsid w:val="00437BEA"/>
    <w:rsid w:val="00440CB1"/>
    <w:rsid w:val="004415FD"/>
    <w:rsid w:val="0044172D"/>
    <w:rsid w:val="00442574"/>
    <w:rsid w:val="00443264"/>
    <w:rsid w:val="00444956"/>
    <w:rsid w:val="00446780"/>
    <w:rsid w:val="00446A8C"/>
    <w:rsid w:val="00447DCA"/>
    <w:rsid w:val="00450D2A"/>
    <w:rsid w:val="00451453"/>
    <w:rsid w:val="00451F48"/>
    <w:rsid w:val="00453521"/>
    <w:rsid w:val="004552D9"/>
    <w:rsid w:val="004626AB"/>
    <w:rsid w:val="004630D7"/>
    <w:rsid w:val="004652EE"/>
    <w:rsid w:val="004656FD"/>
    <w:rsid w:val="00465E8E"/>
    <w:rsid w:val="00467509"/>
    <w:rsid w:val="004718DC"/>
    <w:rsid w:val="00472B05"/>
    <w:rsid w:val="00472C88"/>
    <w:rsid w:val="00474A33"/>
    <w:rsid w:val="00475851"/>
    <w:rsid w:val="004761D2"/>
    <w:rsid w:val="00476775"/>
    <w:rsid w:val="004819A1"/>
    <w:rsid w:val="00481A01"/>
    <w:rsid w:val="00481E41"/>
    <w:rsid w:val="00485076"/>
    <w:rsid w:val="00486093"/>
    <w:rsid w:val="00486DDE"/>
    <w:rsid w:val="0048774A"/>
    <w:rsid w:val="00487C5F"/>
    <w:rsid w:val="00487FE2"/>
    <w:rsid w:val="00491AC1"/>
    <w:rsid w:val="00495D8E"/>
    <w:rsid w:val="00496FF4"/>
    <w:rsid w:val="00497CC4"/>
    <w:rsid w:val="00497DD5"/>
    <w:rsid w:val="004A0195"/>
    <w:rsid w:val="004A081D"/>
    <w:rsid w:val="004A1DBF"/>
    <w:rsid w:val="004A2722"/>
    <w:rsid w:val="004A5B46"/>
    <w:rsid w:val="004A622C"/>
    <w:rsid w:val="004A7735"/>
    <w:rsid w:val="004A7E57"/>
    <w:rsid w:val="004B2188"/>
    <w:rsid w:val="004B2461"/>
    <w:rsid w:val="004B27CE"/>
    <w:rsid w:val="004B481A"/>
    <w:rsid w:val="004B681A"/>
    <w:rsid w:val="004C1BB5"/>
    <w:rsid w:val="004C40CD"/>
    <w:rsid w:val="004C4CF2"/>
    <w:rsid w:val="004C4D80"/>
    <w:rsid w:val="004C4E12"/>
    <w:rsid w:val="004C6CB1"/>
    <w:rsid w:val="004C7112"/>
    <w:rsid w:val="004D1BE7"/>
    <w:rsid w:val="004D27C2"/>
    <w:rsid w:val="004D2C24"/>
    <w:rsid w:val="004D4717"/>
    <w:rsid w:val="004D58A7"/>
    <w:rsid w:val="004D61B2"/>
    <w:rsid w:val="004D6E68"/>
    <w:rsid w:val="004D7481"/>
    <w:rsid w:val="004D762F"/>
    <w:rsid w:val="004E2A89"/>
    <w:rsid w:val="004E33F4"/>
    <w:rsid w:val="004E5C9F"/>
    <w:rsid w:val="004E5D92"/>
    <w:rsid w:val="004E662E"/>
    <w:rsid w:val="004E7A7B"/>
    <w:rsid w:val="004E7DFD"/>
    <w:rsid w:val="004F0A29"/>
    <w:rsid w:val="004F266F"/>
    <w:rsid w:val="004F2956"/>
    <w:rsid w:val="004F2B35"/>
    <w:rsid w:val="004F31EF"/>
    <w:rsid w:val="004F413C"/>
    <w:rsid w:val="004F4CB1"/>
    <w:rsid w:val="004F4F3B"/>
    <w:rsid w:val="004F5B81"/>
    <w:rsid w:val="004F6D20"/>
    <w:rsid w:val="004F70F5"/>
    <w:rsid w:val="004F7551"/>
    <w:rsid w:val="004F7C05"/>
    <w:rsid w:val="004F7DBE"/>
    <w:rsid w:val="00501542"/>
    <w:rsid w:val="00501E25"/>
    <w:rsid w:val="005022C1"/>
    <w:rsid w:val="00504C8A"/>
    <w:rsid w:val="00505F26"/>
    <w:rsid w:val="00506844"/>
    <w:rsid w:val="00507C38"/>
    <w:rsid w:val="00507DE6"/>
    <w:rsid w:val="00510480"/>
    <w:rsid w:val="005120A7"/>
    <w:rsid w:val="0051280D"/>
    <w:rsid w:val="00513E50"/>
    <w:rsid w:val="0051489B"/>
    <w:rsid w:val="005155A9"/>
    <w:rsid w:val="00515962"/>
    <w:rsid w:val="00517C61"/>
    <w:rsid w:val="00522657"/>
    <w:rsid w:val="00523418"/>
    <w:rsid w:val="005252AC"/>
    <w:rsid w:val="005257AA"/>
    <w:rsid w:val="00526AE5"/>
    <w:rsid w:val="00530372"/>
    <w:rsid w:val="00532116"/>
    <w:rsid w:val="00533354"/>
    <w:rsid w:val="0053581D"/>
    <w:rsid w:val="005361A6"/>
    <w:rsid w:val="005365A4"/>
    <w:rsid w:val="00541069"/>
    <w:rsid w:val="00541AD1"/>
    <w:rsid w:val="00541CCF"/>
    <w:rsid w:val="00541FA4"/>
    <w:rsid w:val="00542910"/>
    <w:rsid w:val="00542A9F"/>
    <w:rsid w:val="00542EC6"/>
    <w:rsid w:val="00544489"/>
    <w:rsid w:val="005449D0"/>
    <w:rsid w:val="00545D1F"/>
    <w:rsid w:val="005464D8"/>
    <w:rsid w:val="00547A63"/>
    <w:rsid w:val="00547D79"/>
    <w:rsid w:val="00550294"/>
    <w:rsid w:val="00550A9D"/>
    <w:rsid w:val="0055146E"/>
    <w:rsid w:val="00552790"/>
    <w:rsid w:val="00553808"/>
    <w:rsid w:val="00554FA5"/>
    <w:rsid w:val="00561A39"/>
    <w:rsid w:val="00562458"/>
    <w:rsid w:val="00563B3E"/>
    <w:rsid w:val="00563E31"/>
    <w:rsid w:val="005649F0"/>
    <w:rsid w:val="00567387"/>
    <w:rsid w:val="00572D35"/>
    <w:rsid w:val="00573929"/>
    <w:rsid w:val="0057403F"/>
    <w:rsid w:val="0057413F"/>
    <w:rsid w:val="00580DAC"/>
    <w:rsid w:val="00581B85"/>
    <w:rsid w:val="00581C75"/>
    <w:rsid w:val="0058232E"/>
    <w:rsid w:val="0058391D"/>
    <w:rsid w:val="00585AE0"/>
    <w:rsid w:val="00586470"/>
    <w:rsid w:val="00586812"/>
    <w:rsid w:val="00590404"/>
    <w:rsid w:val="005908A0"/>
    <w:rsid w:val="00591709"/>
    <w:rsid w:val="00592D16"/>
    <w:rsid w:val="00594266"/>
    <w:rsid w:val="0059433D"/>
    <w:rsid w:val="00594608"/>
    <w:rsid w:val="00594766"/>
    <w:rsid w:val="00595F68"/>
    <w:rsid w:val="0059698F"/>
    <w:rsid w:val="00597270"/>
    <w:rsid w:val="005977E7"/>
    <w:rsid w:val="005A0979"/>
    <w:rsid w:val="005A0C07"/>
    <w:rsid w:val="005A112D"/>
    <w:rsid w:val="005A226E"/>
    <w:rsid w:val="005A2579"/>
    <w:rsid w:val="005A26EF"/>
    <w:rsid w:val="005A43AE"/>
    <w:rsid w:val="005A5577"/>
    <w:rsid w:val="005A5BF6"/>
    <w:rsid w:val="005A6761"/>
    <w:rsid w:val="005B0109"/>
    <w:rsid w:val="005B060E"/>
    <w:rsid w:val="005B07A8"/>
    <w:rsid w:val="005B3421"/>
    <w:rsid w:val="005B56A2"/>
    <w:rsid w:val="005B645C"/>
    <w:rsid w:val="005C0E93"/>
    <w:rsid w:val="005C309B"/>
    <w:rsid w:val="005C38A1"/>
    <w:rsid w:val="005C3E22"/>
    <w:rsid w:val="005C4229"/>
    <w:rsid w:val="005D1AE8"/>
    <w:rsid w:val="005D2FE3"/>
    <w:rsid w:val="005D3C90"/>
    <w:rsid w:val="005D4120"/>
    <w:rsid w:val="005D4A06"/>
    <w:rsid w:val="005D4F28"/>
    <w:rsid w:val="005E052F"/>
    <w:rsid w:val="005E1FEB"/>
    <w:rsid w:val="005E2264"/>
    <w:rsid w:val="005E3D2F"/>
    <w:rsid w:val="005E5CB7"/>
    <w:rsid w:val="005E79EF"/>
    <w:rsid w:val="005E7B5F"/>
    <w:rsid w:val="005E7D8C"/>
    <w:rsid w:val="005F0684"/>
    <w:rsid w:val="005F11D1"/>
    <w:rsid w:val="005F2A2E"/>
    <w:rsid w:val="005F3416"/>
    <w:rsid w:val="005F3A7B"/>
    <w:rsid w:val="005F4425"/>
    <w:rsid w:val="005F67AF"/>
    <w:rsid w:val="005F6C3A"/>
    <w:rsid w:val="006028B0"/>
    <w:rsid w:val="00603948"/>
    <w:rsid w:val="00603D90"/>
    <w:rsid w:val="0060545D"/>
    <w:rsid w:val="00605A96"/>
    <w:rsid w:val="00606128"/>
    <w:rsid w:val="00606BB7"/>
    <w:rsid w:val="00607804"/>
    <w:rsid w:val="006100AD"/>
    <w:rsid w:val="00616EFD"/>
    <w:rsid w:val="00617B4C"/>
    <w:rsid w:val="00621A4A"/>
    <w:rsid w:val="00623496"/>
    <w:rsid w:val="00623903"/>
    <w:rsid w:val="00623F48"/>
    <w:rsid w:val="00624E26"/>
    <w:rsid w:val="00627540"/>
    <w:rsid w:val="006278C8"/>
    <w:rsid w:val="006345CC"/>
    <w:rsid w:val="0063588F"/>
    <w:rsid w:val="00635983"/>
    <w:rsid w:val="00636DB2"/>
    <w:rsid w:val="00637038"/>
    <w:rsid w:val="00637722"/>
    <w:rsid w:val="00640097"/>
    <w:rsid w:val="00641261"/>
    <w:rsid w:val="00643DDD"/>
    <w:rsid w:val="00643FEB"/>
    <w:rsid w:val="00645BF8"/>
    <w:rsid w:val="00645C8A"/>
    <w:rsid w:val="00650856"/>
    <w:rsid w:val="00651281"/>
    <w:rsid w:val="006512AE"/>
    <w:rsid w:val="00654262"/>
    <w:rsid w:val="00655469"/>
    <w:rsid w:val="00655A9C"/>
    <w:rsid w:val="00655C5B"/>
    <w:rsid w:val="00655DC1"/>
    <w:rsid w:val="00657198"/>
    <w:rsid w:val="006571C6"/>
    <w:rsid w:val="0066150B"/>
    <w:rsid w:val="0066320E"/>
    <w:rsid w:val="0066357C"/>
    <w:rsid w:val="00663BF2"/>
    <w:rsid w:val="00664494"/>
    <w:rsid w:val="00665ED7"/>
    <w:rsid w:val="0066606C"/>
    <w:rsid w:val="006676C2"/>
    <w:rsid w:val="00667822"/>
    <w:rsid w:val="006705A8"/>
    <w:rsid w:val="00671D56"/>
    <w:rsid w:val="00671E40"/>
    <w:rsid w:val="00671EC6"/>
    <w:rsid w:val="0067294F"/>
    <w:rsid w:val="00672EC0"/>
    <w:rsid w:val="0067378A"/>
    <w:rsid w:val="00675441"/>
    <w:rsid w:val="0067733A"/>
    <w:rsid w:val="0068029B"/>
    <w:rsid w:val="0068535D"/>
    <w:rsid w:val="00685C75"/>
    <w:rsid w:val="006913FE"/>
    <w:rsid w:val="00694486"/>
    <w:rsid w:val="0069611F"/>
    <w:rsid w:val="006963B7"/>
    <w:rsid w:val="00696B42"/>
    <w:rsid w:val="0069786B"/>
    <w:rsid w:val="006A2A5D"/>
    <w:rsid w:val="006A2F2D"/>
    <w:rsid w:val="006A4A7F"/>
    <w:rsid w:val="006A4E5B"/>
    <w:rsid w:val="006A4FEC"/>
    <w:rsid w:val="006A598E"/>
    <w:rsid w:val="006A6338"/>
    <w:rsid w:val="006A6CCF"/>
    <w:rsid w:val="006A74B4"/>
    <w:rsid w:val="006B0997"/>
    <w:rsid w:val="006B0EB7"/>
    <w:rsid w:val="006B21D3"/>
    <w:rsid w:val="006B5AF7"/>
    <w:rsid w:val="006B6194"/>
    <w:rsid w:val="006B6E97"/>
    <w:rsid w:val="006B7598"/>
    <w:rsid w:val="006C0444"/>
    <w:rsid w:val="006C24B6"/>
    <w:rsid w:val="006C3B14"/>
    <w:rsid w:val="006C4503"/>
    <w:rsid w:val="006C4BD0"/>
    <w:rsid w:val="006C722E"/>
    <w:rsid w:val="006D038C"/>
    <w:rsid w:val="006D2661"/>
    <w:rsid w:val="006D2C17"/>
    <w:rsid w:val="006D423E"/>
    <w:rsid w:val="006D51E6"/>
    <w:rsid w:val="006D5E5C"/>
    <w:rsid w:val="006D7923"/>
    <w:rsid w:val="006D7F79"/>
    <w:rsid w:val="006E0689"/>
    <w:rsid w:val="006E33B6"/>
    <w:rsid w:val="006E3FED"/>
    <w:rsid w:val="006E649A"/>
    <w:rsid w:val="006E6BF2"/>
    <w:rsid w:val="006E7AA4"/>
    <w:rsid w:val="006F005C"/>
    <w:rsid w:val="006F0AFD"/>
    <w:rsid w:val="006F4F33"/>
    <w:rsid w:val="006F6520"/>
    <w:rsid w:val="006F7670"/>
    <w:rsid w:val="00700BF9"/>
    <w:rsid w:val="00700ECB"/>
    <w:rsid w:val="00707244"/>
    <w:rsid w:val="0070725E"/>
    <w:rsid w:val="007102F3"/>
    <w:rsid w:val="007103F1"/>
    <w:rsid w:val="00711044"/>
    <w:rsid w:val="0071233B"/>
    <w:rsid w:val="007123DF"/>
    <w:rsid w:val="00714281"/>
    <w:rsid w:val="00714C48"/>
    <w:rsid w:val="00715178"/>
    <w:rsid w:val="007155F4"/>
    <w:rsid w:val="007160A3"/>
    <w:rsid w:val="00716A87"/>
    <w:rsid w:val="00716F9F"/>
    <w:rsid w:val="00720B17"/>
    <w:rsid w:val="00721309"/>
    <w:rsid w:val="00722261"/>
    <w:rsid w:val="00725346"/>
    <w:rsid w:val="0072560B"/>
    <w:rsid w:val="00725DFA"/>
    <w:rsid w:val="00725E23"/>
    <w:rsid w:val="0072721A"/>
    <w:rsid w:val="007313BA"/>
    <w:rsid w:val="007313DE"/>
    <w:rsid w:val="00731D53"/>
    <w:rsid w:val="00732ACE"/>
    <w:rsid w:val="007359AE"/>
    <w:rsid w:val="0073651E"/>
    <w:rsid w:val="007366B7"/>
    <w:rsid w:val="00736D97"/>
    <w:rsid w:val="007370D4"/>
    <w:rsid w:val="0074037D"/>
    <w:rsid w:val="00740701"/>
    <w:rsid w:val="00742441"/>
    <w:rsid w:val="00742446"/>
    <w:rsid w:val="00742BF7"/>
    <w:rsid w:val="00743B0E"/>
    <w:rsid w:val="00743CA6"/>
    <w:rsid w:val="007448E7"/>
    <w:rsid w:val="00744D1F"/>
    <w:rsid w:val="007450B0"/>
    <w:rsid w:val="0074526C"/>
    <w:rsid w:val="0074610C"/>
    <w:rsid w:val="00747C42"/>
    <w:rsid w:val="007515E6"/>
    <w:rsid w:val="0075515B"/>
    <w:rsid w:val="00755444"/>
    <w:rsid w:val="00756EA9"/>
    <w:rsid w:val="00757736"/>
    <w:rsid w:val="007605D6"/>
    <w:rsid w:val="00760AFF"/>
    <w:rsid w:val="0076155E"/>
    <w:rsid w:val="00761CBE"/>
    <w:rsid w:val="007631A6"/>
    <w:rsid w:val="00766A77"/>
    <w:rsid w:val="00766E81"/>
    <w:rsid w:val="00767802"/>
    <w:rsid w:val="00767FA3"/>
    <w:rsid w:val="007703BB"/>
    <w:rsid w:val="007708C4"/>
    <w:rsid w:val="00770C0B"/>
    <w:rsid w:val="0077145F"/>
    <w:rsid w:val="00771FCA"/>
    <w:rsid w:val="00773166"/>
    <w:rsid w:val="00773570"/>
    <w:rsid w:val="00773EB9"/>
    <w:rsid w:val="0077433A"/>
    <w:rsid w:val="007770C9"/>
    <w:rsid w:val="00777B96"/>
    <w:rsid w:val="00777CCA"/>
    <w:rsid w:val="00782B4E"/>
    <w:rsid w:val="007830F7"/>
    <w:rsid w:val="007838AB"/>
    <w:rsid w:val="00783B3A"/>
    <w:rsid w:val="00786543"/>
    <w:rsid w:val="00787D93"/>
    <w:rsid w:val="00787EB1"/>
    <w:rsid w:val="007901F5"/>
    <w:rsid w:val="00791213"/>
    <w:rsid w:val="00791F8A"/>
    <w:rsid w:val="007943F5"/>
    <w:rsid w:val="00795078"/>
    <w:rsid w:val="00796409"/>
    <w:rsid w:val="00797610"/>
    <w:rsid w:val="00797EAC"/>
    <w:rsid w:val="007A03DF"/>
    <w:rsid w:val="007A0DB8"/>
    <w:rsid w:val="007A0E9D"/>
    <w:rsid w:val="007A17D9"/>
    <w:rsid w:val="007A73AD"/>
    <w:rsid w:val="007B015E"/>
    <w:rsid w:val="007B0FA6"/>
    <w:rsid w:val="007B14EC"/>
    <w:rsid w:val="007B30B2"/>
    <w:rsid w:val="007B377B"/>
    <w:rsid w:val="007B3E74"/>
    <w:rsid w:val="007B5D4E"/>
    <w:rsid w:val="007B61EB"/>
    <w:rsid w:val="007B723F"/>
    <w:rsid w:val="007C002A"/>
    <w:rsid w:val="007C3732"/>
    <w:rsid w:val="007C4C2D"/>
    <w:rsid w:val="007C5399"/>
    <w:rsid w:val="007C5F90"/>
    <w:rsid w:val="007C684B"/>
    <w:rsid w:val="007C6978"/>
    <w:rsid w:val="007C724A"/>
    <w:rsid w:val="007D0F36"/>
    <w:rsid w:val="007D101C"/>
    <w:rsid w:val="007D23C5"/>
    <w:rsid w:val="007D3C01"/>
    <w:rsid w:val="007D3C48"/>
    <w:rsid w:val="007D3F67"/>
    <w:rsid w:val="007D5615"/>
    <w:rsid w:val="007D5A11"/>
    <w:rsid w:val="007D5ADA"/>
    <w:rsid w:val="007D63E7"/>
    <w:rsid w:val="007D6543"/>
    <w:rsid w:val="007E005D"/>
    <w:rsid w:val="007E02CB"/>
    <w:rsid w:val="007E0F83"/>
    <w:rsid w:val="007E2036"/>
    <w:rsid w:val="007E273B"/>
    <w:rsid w:val="007E38E0"/>
    <w:rsid w:val="007E40B1"/>
    <w:rsid w:val="007E4CB4"/>
    <w:rsid w:val="007F0893"/>
    <w:rsid w:val="007F2EC6"/>
    <w:rsid w:val="007F51D0"/>
    <w:rsid w:val="007F575E"/>
    <w:rsid w:val="007F65D1"/>
    <w:rsid w:val="007F6E1C"/>
    <w:rsid w:val="00801560"/>
    <w:rsid w:val="0080164C"/>
    <w:rsid w:val="008019F0"/>
    <w:rsid w:val="00803C83"/>
    <w:rsid w:val="00803D9B"/>
    <w:rsid w:val="00805C56"/>
    <w:rsid w:val="00807A3F"/>
    <w:rsid w:val="00810520"/>
    <w:rsid w:val="00810639"/>
    <w:rsid w:val="00810BD8"/>
    <w:rsid w:val="00813781"/>
    <w:rsid w:val="008140F9"/>
    <w:rsid w:val="00814172"/>
    <w:rsid w:val="0081469C"/>
    <w:rsid w:val="008147FC"/>
    <w:rsid w:val="00817A45"/>
    <w:rsid w:val="00817FED"/>
    <w:rsid w:val="0082014B"/>
    <w:rsid w:val="00821DFC"/>
    <w:rsid w:val="00825417"/>
    <w:rsid w:val="00825C77"/>
    <w:rsid w:val="0082654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5B6F"/>
    <w:rsid w:val="00847BF2"/>
    <w:rsid w:val="0085130C"/>
    <w:rsid w:val="00851920"/>
    <w:rsid w:val="00852D8E"/>
    <w:rsid w:val="00853024"/>
    <w:rsid w:val="00853834"/>
    <w:rsid w:val="008538CD"/>
    <w:rsid w:val="008539AD"/>
    <w:rsid w:val="00853B8F"/>
    <w:rsid w:val="00854726"/>
    <w:rsid w:val="0085482F"/>
    <w:rsid w:val="00854CFC"/>
    <w:rsid w:val="00855C37"/>
    <w:rsid w:val="00860805"/>
    <w:rsid w:val="00860D58"/>
    <w:rsid w:val="00860E99"/>
    <w:rsid w:val="00861E96"/>
    <w:rsid w:val="00862243"/>
    <w:rsid w:val="00862F7F"/>
    <w:rsid w:val="00863657"/>
    <w:rsid w:val="0086556D"/>
    <w:rsid w:val="008656B7"/>
    <w:rsid w:val="008678B0"/>
    <w:rsid w:val="00870C2D"/>
    <w:rsid w:val="008718F2"/>
    <w:rsid w:val="00872CB4"/>
    <w:rsid w:val="00874C5B"/>
    <w:rsid w:val="0087616A"/>
    <w:rsid w:val="00876196"/>
    <w:rsid w:val="00876DAA"/>
    <w:rsid w:val="00877E17"/>
    <w:rsid w:val="00877EC3"/>
    <w:rsid w:val="00877F9C"/>
    <w:rsid w:val="00880D9F"/>
    <w:rsid w:val="00882982"/>
    <w:rsid w:val="00882AB9"/>
    <w:rsid w:val="00883BE3"/>
    <w:rsid w:val="0088474C"/>
    <w:rsid w:val="008847B7"/>
    <w:rsid w:val="00884F9D"/>
    <w:rsid w:val="00885F35"/>
    <w:rsid w:val="00890915"/>
    <w:rsid w:val="00892038"/>
    <w:rsid w:val="00892236"/>
    <w:rsid w:val="0089361D"/>
    <w:rsid w:val="008947DF"/>
    <w:rsid w:val="00896C82"/>
    <w:rsid w:val="008A14E9"/>
    <w:rsid w:val="008A211B"/>
    <w:rsid w:val="008A3480"/>
    <w:rsid w:val="008A3CC2"/>
    <w:rsid w:val="008A4AB3"/>
    <w:rsid w:val="008A5B46"/>
    <w:rsid w:val="008A7C91"/>
    <w:rsid w:val="008B01D1"/>
    <w:rsid w:val="008B65EB"/>
    <w:rsid w:val="008B7DD0"/>
    <w:rsid w:val="008C0F76"/>
    <w:rsid w:val="008C4722"/>
    <w:rsid w:val="008C483C"/>
    <w:rsid w:val="008C48C6"/>
    <w:rsid w:val="008C6BD6"/>
    <w:rsid w:val="008C7B9E"/>
    <w:rsid w:val="008D1625"/>
    <w:rsid w:val="008D1E81"/>
    <w:rsid w:val="008D5C12"/>
    <w:rsid w:val="008D6273"/>
    <w:rsid w:val="008D7E34"/>
    <w:rsid w:val="008E1381"/>
    <w:rsid w:val="008E1EB8"/>
    <w:rsid w:val="008E1FDA"/>
    <w:rsid w:val="008E2F28"/>
    <w:rsid w:val="008E42F8"/>
    <w:rsid w:val="008E555E"/>
    <w:rsid w:val="008E63D3"/>
    <w:rsid w:val="008E66A3"/>
    <w:rsid w:val="008E737B"/>
    <w:rsid w:val="008E7684"/>
    <w:rsid w:val="008F0300"/>
    <w:rsid w:val="008F12BA"/>
    <w:rsid w:val="008F1683"/>
    <w:rsid w:val="008F19D4"/>
    <w:rsid w:val="008F1B66"/>
    <w:rsid w:val="008F25A3"/>
    <w:rsid w:val="008F2DE5"/>
    <w:rsid w:val="008F3755"/>
    <w:rsid w:val="008F4252"/>
    <w:rsid w:val="008F4EB5"/>
    <w:rsid w:val="008F6989"/>
    <w:rsid w:val="009020B1"/>
    <w:rsid w:val="00902478"/>
    <w:rsid w:val="0090263B"/>
    <w:rsid w:val="0090617D"/>
    <w:rsid w:val="009061CE"/>
    <w:rsid w:val="00907E0A"/>
    <w:rsid w:val="009136FE"/>
    <w:rsid w:val="0091478E"/>
    <w:rsid w:val="00914C69"/>
    <w:rsid w:val="009162B7"/>
    <w:rsid w:val="009214D4"/>
    <w:rsid w:val="00921B73"/>
    <w:rsid w:val="00927588"/>
    <w:rsid w:val="00930957"/>
    <w:rsid w:val="009330C9"/>
    <w:rsid w:val="00933833"/>
    <w:rsid w:val="00933AB2"/>
    <w:rsid w:val="00933ACA"/>
    <w:rsid w:val="009349B1"/>
    <w:rsid w:val="009351E0"/>
    <w:rsid w:val="0093681E"/>
    <w:rsid w:val="00936952"/>
    <w:rsid w:val="00937ED0"/>
    <w:rsid w:val="0094019C"/>
    <w:rsid w:val="00940C6E"/>
    <w:rsid w:val="00940C9D"/>
    <w:rsid w:val="00940F9C"/>
    <w:rsid w:val="00941943"/>
    <w:rsid w:val="00942021"/>
    <w:rsid w:val="00942873"/>
    <w:rsid w:val="00943357"/>
    <w:rsid w:val="00944762"/>
    <w:rsid w:val="00944F45"/>
    <w:rsid w:val="00945553"/>
    <w:rsid w:val="00947A5E"/>
    <w:rsid w:val="009509AA"/>
    <w:rsid w:val="009509BC"/>
    <w:rsid w:val="00952741"/>
    <w:rsid w:val="00952C9E"/>
    <w:rsid w:val="009540B8"/>
    <w:rsid w:val="00954811"/>
    <w:rsid w:val="00954998"/>
    <w:rsid w:val="00954AAA"/>
    <w:rsid w:val="00954B0A"/>
    <w:rsid w:val="00955AB1"/>
    <w:rsid w:val="009569A1"/>
    <w:rsid w:val="009607AC"/>
    <w:rsid w:val="00960E62"/>
    <w:rsid w:val="009617D5"/>
    <w:rsid w:val="00961CD0"/>
    <w:rsid w:val="00962B3D"/>
    <w:rsid w:val="00963239"/>
    <w:rsid w:val="009645F2"/>
    <w:rsid w:val="009648A2"/>
    <w:rsid w:val="0096536F"/>
    <w:rsid w:val="00965B57"/>
    <w:rsid w:val="009675D5"/>
    <w:rsid w:val="00970F49"/>
    <w:rsid w:val="0097238F"/>
    <w:rsid w:val="00972A9A"/>
    <w:rsid w:val="0097333F"/>
    <w:rsid w:val="009733AC"/>
    <w:rsid w:val="00973DDD"/>
    <w:rsid w:val="00974871"/>
    <w:rsid w:val="00974CC1"/>
    <w:rsid w:val="00975F36"/>
    <w:rsid w:val="009763E3"/>
    <w:rsid w:val="0097791B"/>
    <w:rsid w:val="00977E9B"/>
    <w:rsid w:val="009803A4"/>
    <w:rsid w:val="00980494"/>
    <w:rsid w:val="0098137D"/>
    <w:rsid w:val="00983AE2"/>
    <w:rsid w:val="0098426F"/>
    <w:rsid w:val="00984906"/>
    <w:rsid w:val="00985B1E"/>
    <w:rsid w:val="00985BC5"/>
    <w:rsid w:val="00985D6A"/>
    <w:rsid w:val="00986A07"/>
    <w:rsid w:val="00986E24"/>
    <w:rsid w:val="00987BAA"/>
    <w:rsid w:val="00990093"/>
    <w:rsid w:val="0099275F"/>
    <w:rsid w:val="00994327"/>
    <w:rsid w:val="00995274"/>
    <w:rsid w:val="009953CA"/>
    <w:rsid w:val="00995E8A"/>
    <w:rsid w:val="009A1055"/>
    <w:rsid w:val="009A4B97"/>
    <w:rsid w:val="009A4E6D"/>
    <w:rsid w:val="009A5200"/>
    <w:rsid w:val="009A52D2"/>
    <w:rsid w:val="009A544A"/>
    <w:rsid w:val="009A7092"/>
    <w:rsid w:val="009A712B"/>
    <w:rsid w:val="009B0F8E"/>
    <w:rsid w:val="009B173C"/>
    <w:rsid w:val="009B1AF1"/>
    <w:rsid w:val="009B2BAF"/>
    <w:rsid w:val="009B4596"/>
    <w:rsid w:val="009B5A58"/>
    <w:rsid w:val="009B5DB8"/>
    <w:rsid w:val="009B6327"/>
    <w:rsid w:val="009B6A1C"/>
    <w:rsid w:val="009B76DA"/>
    <w:rsid w:val="009C029F"/>
    <w:rsid w:val="009C43BB"/>
    <w:rsid w:val="009C55EC"/>
    <w:rsid w:val="009C5BEB"/>
    <w:rsid w:val="009C770F"/>
    <w:rsid w:val="009C7BFA"/>
    <w:rsid w:val="009D0946"/>
    <w:rsid w:val="009D0DC3"/>
    <w:rsid w:val="009D3AF4"/>
    <w:rsid w:val="009D433B"/>
    <w:rsid w:val="009D5595"/>
    <w:rsid w:val="009D60A6"/>
    <w:rsid w:val="009D62F3"/>
    <w:rsid w:val="009D6D69"/>
    <w:rsid w:val="009D6E9A"/>
    <w:rsid w:val="009E07FD"/>
    <w:rsid w:val="009E350A"/>
    <w:rsid w:val="009E576D"/>
    <w:rsid w:val="009E6CDF"/>
    <w:rsid w:val="009F2023"/>
    <w:rsid w:val="009F6926"/>
    <w:rsid w:val="009F6BD5"/>
    <w:rsid w:val="009F6CED"/>
    <w:rsid w:val="009F70FB"/>
    <w:rsid w:val="009F7510"/>
    <w:rsid w:val="009F76A2"/>
    <w:rsid w:val="00A01A68"/>
    <w:rsid w:val="00A02A63"/>
    <w:rsid w:val="00A03C7E"/>
    <w:rsid w:val="00A052FA"/>
    <w:rsid w:val="00A05634"/>
    <w:rsid w:val="00A059DC"/>
    <w:rsid w:val="00A05FF7"/>
    <w:rsid w:val="00A126EB"/>
    <w:rsid w:val="00A13D8E"/>
    <w:rsid w:val="00A143C7"/>
    <w:rsid w:val="00A15490"/>
    <w:rsid w:val="00A17099"/>
    <w:rsid w:val="00A1791B"/>
    <w:rsid w:val="00A20AA7"/>
    <w:rsid w:val="00A2142E"/>
    <w:rsid w:val="00A2192D"/>
    <w:rsid w:val="00A230B4"/>
    <w:rsid w:val="00A23EDF"/>
    <w:rsid w:val="00A242AD"/>
    <w:rsid w:val="00A24399"/>
    <w:rsid w:val="00A2490C"/>
    <w:rsid w:val="00A2602D"/>
    <w:rsid w:val="00A26786"/>
    <w:rsid w:val="00A26940"/>
    <w:rsid w:val="00A26A6F"/>
    <w:rsid w:val="00A323E7"/>
    <w:rsid w:val="00A36BAE"/>
    <w:rsid w:val="00A4026A"/>
    <w:rsid w:val="00A41AC2"/>
    <w:rsid w:val="00A421B3"/>
    <w:rsid w:val="00A431B9"/>
    <w:rsid w:val="00A44AEC"/>
    <w:rsid w:val="00A459A9"/>
    <w:rsid w:val="00A46E78"/>
    <w:rsid w:val="00A50A02"/>
    <w:rsid w:val="00A511F6"/>
    <w:rsid w:val="00A51660"/>
    <w:rsid w:val="00A53A52"/>
    <w:rsid w:val="00A54F72"/>
    <w:rsid w:val="00A56352"/>
    <w:rsid w:val="00A57655"/>
    <w:rsid w:val="00A5770C"/>
    <w:rsid w:val="00A6646F"/>
    <w:rsid w:val="00A70250"/>
    <w:rsid w:val="00A70AFC"/>
    <w:rsid w:val="00A7146A"/>
    <w:rsid w:val="00A725BB"/>
    <w:rsid w:val="00A7390B"/>
    <w:rsid w:val="00A73B0D"/>
    <w:rsid w:val="00A740A8"/>
    <w:rsid w:val="00A75479"/>
    <w:rsid w:val="00A75705"/>
    <w:rsid w:val="00A75A21"/>
    <w:rsid w:val="00A761B6"/>
    <w:rsid w:val="00A76E14"/>
    <w:rsid w:val="00A77460"/>
    <w:rsid w:val="00A820A6"/>
    <w:rsid w:val="00A82FC8"/>
    <w:rsid w:val="00A85730"/>
    <w:rsid w:val="00A86473"/>
    <w:rsid w:val="00A865F1"/>
    <w:rsid w:val="00A86DAC"/>
    <w:rsid w:val="00A8723D"/>
    <w:rsid w:val="00A87703"/>
    <w:rsid w:val="00A87FE0"/>
    <w:rsid w:val="00A90341"/>
    <w:rsid w:val="00A91A73"/>
    <w:rsid w:val="00A91C32"/>
    <w:rsid w:val="00A9307B"/>
    <w:rsid w:val="00A950C7"/>
    <w:rsid w:val="00A9749E"/>
    <w:rsid w:val="00A977F2"/>
    <w:rsid w:val="00A97BB5"/>
    <w:rsid w:val="00A97E6E"/>
    <w:rsid w:val="00AA6170"/>
    <w:rsid w:val="00AB199F"/>
    <w:rsid w:val="00AB25E7"/>
    <w:rsid w:val="00AB3C32"/>
    <w:rsid w:val="00AB45EF"/>
    <w:rsid w:val="00AB4EC0"/>
    <w:rsid w:val="00AB5692"/>
    <w:rsid w:val="00AB5E5F"/>
    <w:rsid w:val="00AB6279"/>
    <w:rsid w:val="00AB7A32"/>
    <w:rsid w:val="00AB7CF8"/>
    <w:rsid w:val="00AC2A50"/>
    <w:rsid w:val="00AC2DBE"/>
    <w:rsid w:val="00AC44C3"/>
    <w:rsid w:val="00AC549B"/>
    <w:rsid w:val="00AC607A"/>
    <w:rsid w:val="00AC6E8B"/>
    <w:rsid w:val="00AC7614"/>
    <w:rsid w:val="00AD0000"/>
    <w:rsid w:val="00AD0D40"/>
    <w:rsid w:val="00AD3682"/>
    <w:rsid w:val="00AD4212"/>
    <w:rsid w:val="00AD4A17"/>
    <w:rsid w:val="00AD70E0"/>
    <w:rsid w:val="00AE2456"/>
    <w:rsid w:val="00AE2E69"/>
    <w:rsid w:val="00AE430A"/>
    <w:rsid w:val="00AE59FD"/>
    <w:rsid w:val="00AE5D3D"/>
    <w:rsid w:val="00AE613A"/>
    <w:rsid w:val="00AE6BC6"/>
    <w:rsid w:val="00AE7DA4"/>
    <w:rsid w:val="00AF0B65"/>
    <w:rsid w:val="00AF1159"/>
    <w:rsid w:val="00AF1CD0"/>
    <w:rsid w:val="00AF250C"/>
    <w:rsid w:val="00AF3374"/>
    <w:rsid w:val="00AF601E"/>
    <w:rsid w:val="00AF694A"/>
    <w:rsid w:val="00AF795E"/>
    <w:rsid w:val="00B010E2"/>
    <w:rsid w:val="00B01C39"/>
    <w:rsid w:val="00B02C88"/>
    <w:rsid w:val="00B033CC"/>
    <w:rsid w:val="00B065D5"/>
    <w:rsid w:val="00B104C6"/>
    <w:rsid w:val="00B125BF"/>
    <w:rsid w:val="00B12781"/>
    <w:rsid w:val="00B12D57"/>
    <w:rsid w:val="00B13390"/>
    <w:rsid w:val="00B13C6A"/>
    <w:rsid w:val="00B15A3F"/>
    <w:rsid w:val="00B217B4"/>
    <w:rsid w:val="00B2265E"/>
    <w:rsid w:val="00B23224"/>
    <w:rsid w:val="00B243BB"/>
    <w:rsid w:val="00B27A07"/>
    <w:rsid w:val="00B31690"/>
    <w:rsid w:val="00B3337D"/>
    <w:rsid w:val="00B3467E"/>
    <w:rsid w:val="00B3691B"/>
    <w:rsid w:val="00B36944"/>
    <w:rsid w:val="00B36A21"/>
    <w:rsid w:val="00B3726C"/>
    <w:rsid w:val="00B374A8"/>
    <w:rsid w:val="00B37BEF"/>
    <w:rsid w:val="00B41873"/>
    <w:rsid w:val="00B41CB8"/>
    <w:rsid w:val="00B42517"/>
    <w:rsid w:val="00B42E32"/>
    <w:rsid w:val="00B43061"/>
    <w:rsid w:val="00B4332F"/>
    <w:rsid w:val="00B4353E"/>
    <w:rsid w:val="00B43BA2"/>
    <w:rsid w:val="00B44FA5"/>
    <w:rsid w:val="00B454F7"/>
    <w:rsid w:val="00B46F56"/>
    <w:rsid w:val="00B50773"/>
    <w:rsid w:val="00B509EF"/>
    <w:rsid w:val="00B52E6D"/>
    <w:rsid w:val="00B52ED0"/>
    <w:rsid w:val="00B53A73"/>
    <w:rsid w:val="00B54603"/>
    <w:rsid w:val="00B552DA"/>
    <w:rsid w:val="00B562E2"/>
    <w:rsid w:val="00B56A11"/>
    <w:rsid w:val="00B56DF8"/>
    <w:rsid w:val="00B56ECB"/>
    <w:rsid w:val="00B57429"/>
    <w:rsid w:val="00B6095E"/>
    <w:rsid w:val="00B62B84"/>
    <w:rsid w:val="00B62D66"/>
    <w:rsid w:val="00B63193"/>
    <w:rsid w:val="00B63813"/>
    <w:rsid w:val="00B65049"/>
    <w:rsid w:val="00B658D9"/>
    <w:rsid w:val="00B66398"/>
    <w:rsid w:val="00B71A12"/>
    <w:rsid w:val="00B726D6"/>
    <w:rsid w:val="00B72911"/>
    <w:rsid w:val="00B735C1"/>
    <w:rsid w:val="00B7381C"/>
    <w:rsid w:val="00B73EDF"/>
    <w:rsid w:val="00B76D9A"/>
    <w:rsid w:val="00B80857"/>
    <w:rsid w:val="00B83041"/>
    <w:rsid w:val="00B832B1"/>
    <w:rsid w:val="00B83D78"/>
    <w:rsid w:val="00B85A40"/>
    <w:rsid w:val="00B90617"/>
    <w:rsid w:val="00B9205C"/>
    <w:rsid w:val="00B920E4"/>
    <w:rsid w:val="00B92FBB"/>
    <w:rsid w:val="00B93B24"/>
    <w:rsid w:val="00B94187"/>
    <w:rsid w:val="00B96A2B"/>
    <w:rsid w:val="00B97073"/>
    <w:rsid w:val="00B97620"/>
    <w:rsid w:val="00BA47A8"/>
    <w:rsid w:val="00BA4DDB"/>
    <w:rsid w:val="00BA57D7"/>
    <w:rsid w:val="00BA6CBE"/>
    <w:rsid w:val="00BA7ECA"/>
    <w:rsid w:val="00BB07B8"/>
    <w:rsid w:val="00BB07E1"/>
    <w:rsid w:val="00BB145E"/>
    <w:rsid w:val="00BB1A2E"/>
    <w:rsid w:val="00BB4CF4"/>
    <w:rsid w:val="00BB54DE"/>
    <w:rsid w:val="00BB5D91"/>
    <w:rsid w:val="00BB7ADA"/>
    <w:rsid w:val="00BB7AFC"/>
    <w:rsid w:val="00BC1E07"/>
    <w:rsid w:val="00BC2B1A"/>
    <w:rsid w:val="00BC3C09"/>
    <w:rsid w:val="00BC51B8"/>
    <w:rsid w:val="00BC5675"/>
    <w:rsid w:val="00BC5A9B"/>
    <w:rsid w:val="00BC769F"/>
    <w:rsid w:val="00BC7A4C"/>
    <w:rsid w:val="00BC7FF9"/>
    <w:rsid w:val="00BD11C2"/>
    <w:rsid w:val="00BD13CB"/>
    <w:rsid w:val="00BD3043"/>
    <w:rsid w:val="00BD3855"/>
    <w:rsid w:val="00BD3DCE"/>
    <w:rsid w:val="00BD5628"/>
    <w:rsid w:val="00BD5AF3"/>
    <w:rsid w:val="00BD6C21"/>
    <w:rsid w:val="00BD7681"/>
    <w:rsid w:val="00BD7EF8"/>
    <w:rsid w:val="00BE0514"/>
    <w:rsid w:val="00BE190E"/>
    <w:rsid w:val="00BE1EC4"/>
    <w:rsid w:val="00BE2377"/>
    <w:rsid w:val="00BE3345"/>
    <w:rsid w:val="00BE4BC7"/>
    <w:rsid w:val="00BE5A4D"/>
    <w:rsid w:val="00BE61C8"/>
    <w:rsid w:val="00BE64F5"/>
    <w:rsid w:val="00BE79A6"/>
    <w:rsid w:val="00BF01C1"/>
    <w:rsid w:val="00BF086C"/>
    <w:rsid w:val="00BF0DB9"/>
    <w:rsid w:val="00BF1A73"/>
    <w:rsid w:val="00BF2508"/>
    <w:rsid w:val="00BF33D2"/>
    <w:rsid w:val="00BF37C2"/>
    <w:rsid w:val="00BF3935"/>
    <w:rsid w:val="00BF39BB"/>
    <w:rsid w:val="00BF46BB"/>
    <w:rsid w:val="00C00466"/>
    <w:rsid w:val="00C00A00"/>
    <w:rsid w:val="00C01001"/>
    <w:rsid w:val="00C01112"/>
    <w:rsid w:val="00C01494"/>
    <w:rsid w:val="00C025E7"/>
    <w:rsid w:val="00C0263E"/>
    <w:rsid w:val="00C051C2"/>
    <w:rsid w:val="00C05D4A"/>
    <w:rsid w:val="00C069A8"/>
    <w:rsid w:val="00C07CF0"/>
    <w:rsid w:val="00C10625"/>
    <w:rsid w:val="00C108ED"/>
    <w:rsid w:val="00C1090E"/>
    <w:rsid w:val="00C110A2"/>
    <w:rsid w:val="00C1184C"/>
    <w:rsid w:val="00C12BBE"/>
    <w:rsid w:val="00C12C0D"/>
    <w:rsid w:val="00C134D8"/>
    <w:rsid w:val="00C13FCD"/>
    <w:rsid w:val="00C14282"/>
    <w:rsid w:val="00C20CDF"/>
    <w:rsid w:val="00C23456"/>
    <w:rsid w:val="00C2390A"/>
    <w:rsid w:val="00C2498B"/>
    <w:rsid w:val="00C24E8B"/>
    <w:rsid w:val="00C25CDF"/>
    <w:rsid w:val="00C263A8"/>
    <w:rsid w:val="00C26807"/>
    <w:rsid w:val="00C27618"/>
    <w:rsid w:val="00C30A10"/>
    <w:rsid w:val="00C33D18"/>
    <w:rsid w:val="00C3696D"/>
    <w:rsid w:val="00C414D7"/>
    <w:rsid w:val="00C420DF"/>
    <w:rsid w:val="00C43040"/>
    <w:rsid w:val="00C43E3A"/>
    <w:rsid w:val="00C44D2D"/>
    <w:rsid w:val="00C52C4B"/>
    <w:rsid w:val="00C5351B"/>
    <w:rsid w:val="00C53DDA"/>
    <w:rsid w:val="00C54C15"/>
    <w:rsid w:val="00C56DF6"/>
    <w:rsid w:val="00C5737B"/>
    <w:rsid w:val="00C6038C"/>
    <w:rsid w:val="00C60584"/>
    <w:rsid w:val="00C6060A"/>
    <w:rsid w:val="00C60B28"/>
    <w:rsid w:val="00C62091"/>
    <w:rsid w:val="00C6258D"/>
    <w:rsid w:val="00C62A66"/>
    <w:rsid w:val="00C63628"/>
    <w:rsid w:val="00C67663"/>
    <w:rsid w:val="00C679EE"/>
    <w:rsid w:val="00C705A5"/>
    <w:rsid w:val="00C729D3"/>
    <w:rsid w:val="00C729E7"/>
    <w:rsid w:val="00C72B5E"/>
    <w:rsid w:val="00C73FA9"/>
    <w:rsid w:val="00C76B12"/>
    <w:rsid w:val="00C77E0D"/>
    <w:rsid w:val="00C810B5"/>
    <w:rsid w:val="00C8146A"/>
    <w:rsid w:val="00C81AD4"/>
    <w:rsid w:val="00C832A5"/>
    <w:rsid w:val="00C847BE"/>
    <w:rsid w:val="00C84EB8"/>
    <w:rsid w:val="00C853DA"/>
    <w:rsid w:val="00C85492"/>
    <w:rsid w:val="00C874D6"/>
    <w:rsid w:val="00C87B91"/>
    <w:rsid w:val="00C904F1"/>
    <w:rsid w:val="00C93076"/>
    <w:rsid w:val="00C9363B"/>
    <w:rsid w:val="00C9407F"/>
    <w:rsid w:val="00C9418E"/>
    <w:rsid w:val="00C94270"/>
    <w:rsid w:val="00C9510D"/>
    <w:rsid w:val="00C9524A"/>
    <w:rsid w:val="00C9531E"/>
    <w:rsid w:val="00C96A49"/>
    <w:rsid w:val="00C96D02"/>
    <w:rsid w:val="00C96F79"/>
    <w:rsid w:val="00C97053"/>
    <w:rsid w:val="00CA0E8F"/>
    <w:rsid w:val="00CA1042"/>
    <w:rsid w:val="00CA19D6"/>
    <w:rsid w:val="00CA227B"/>
    <w:rsid w:val="00CA2681"/>
    <w:rsid w:val="00CA3243"/>
    <w:rsid w:val="00CA33BB"/>
    <w:rsid w:val="00CA3F81"/>
    <w:rsid w:val="00CA6FBA"/>
    <w:rsid w:val="00CA7D86"/>
    <w:rsid w:val="00CB049B"/>
    <w:rsid w:val="00CB17AB"/>
    <w:rsid w:val="00CB2AB7"/>
    <w:rsid w:val="00CB2C14"/>
    <w:rsid w:val="00CB319C"/>
    <w:rsid w:val="00CB40E0"/>
    <w:rsid w:val="00CB4268"/>
    <w:rsid w:val="00CB4887"/>
    <w:rsid w:val="00CB5E55"/>
    <w:rsid w:val="00CB7E17"/>
    <w:rsid w:val="00CC0560"/>
    <w:rsid w:val="00CC22F9"/>
    <w:rsid w:val="00CC475F"/>
    <w:rsid w:val="00CC4EB8"/>
    <w:rsid w:val="00CC6A51"/>
    <w:rsid w:val="00CD32E1"/>
    <w:rsid w:val="00CD4064"/>
    <w:rsid w:val="00CD4BB8"/>
    <w:rsid w:val="00CD58EF"/>
    <w:rsid w:val="00CD6873"/>
    <w:rsid w:val="00CD6D47"/>
    <w:rsid w:val="00CE1881"/>
    <w:rsid w:val="00CE2F00"/>
    <w:rsid w:val="00CE3A87"/>
    <w:rsid w:val="00CE444A"/>
    <w:rsid w:val="00CE4555"/>
    <w:rsid w:val="00CE554B"/>
    <w:rsid w:val="00CE6B4D"/>
    <w:rsid w:val="00CE6BE7"/>
    <w:rsid w:val="00CE6D9B"/>
    <w:rsid w:val="00CE71E3"/>
    <w:rsid w:val="00CE755F"/>
    <w:rsid w:val="00CF13B5"/>
    <w:rsid w:val="00CF2191"/>
    <w:rsid w:val="00CF2F3E"/>
    <w:rsid w:val="00CF52F2"/>
    <w:rsid w:val="00CF60A1"/>
    <w:rsid w:val="00CF697C"/>
    <w:rsid w:val="00CF6996"/>
    <w:rsid w:val="00CF6ED6"/>
    <w:rsid w:val="00CF755D"/>
    <w:rsid w:val="00CF7737"/>
    <w:rsid w:val="00CF7C08"/>
    <w:rsid w:val="00D00C78"/>
    <w:rsid w:val="00D01C0A"/>
    <w:rsid w:val="00D0207C"/>
    <w:rsid w:val="00D02C9E"/>
    <w:rsid w:val="00D03193"/>
    <w:rsid w:val="00D046FC"/>
    <w:rsid w:val="00D0549B"/>
    <w:rsid w:val="00D068BA"/>
    <w:rsid w:val="00D06F2E"/>
    <w:rsid w:val="00D07F70"/>
    <w:rsid w:val="00D11242"/>
    <w:rsid w:val="00D11CD6"/>
    <w:rsid w:val="00D13802"/>
    <w:rsid w:val="00D143D3"/>
    <w:rsid w:val="00D15FA4"/>
    <w:rsid w:val="00D163D0"/>
    <w:rsid w:val="00D17D8C"/>
    <w:rsid w:val="00D2041F"/>
    <w:rsid w:val="00D20F72"/>
    <w:rsid w:val="00D21F92"/>
    <w:rsid w:val="00D22A45"/>
    <w:rsid w:val="00D23A07"/>
    <w:rsid w:val="00D249D9"/>
    <w:rsid w:val="00D25053"/>
    <w:rsid w:val="00D251A1"/>
    <w:rsid w:val="00D27CF7"/>
    <w:rsid w:val="00D33E71"/>
    <w:rsid w:val="00D35C26"/>
    <w:rsid w:val="00D4316D"/>
    <w:rsid w:val="00D44ED4"/>
    <w:rsid w:val="00D451A1"/>
    <w:rsid w:val="00D455F3"/>
    <w:rsid w:val="00D45AE4"/>
    <w:rsid w:val="00D46195"/>
    <w:rsid w:val="00D52AD4"/>
    <w:rsid w:val="00D52EE2"/>
    <w:rsid w:val="00D53501"/>
    <w:rsid w:val="00D5386C"/>
    <w:rsid w:val="00D540A6"/>
    <w:rsid w:val="00D5473A"/>
    <w:rsid w:val="00D54D0A"/>
    <w:rsid w:val="00D55EF3"/>
    <w:rsid w:val="00D57BE2"/>
    <w:rsid w:val="00D60B2A"/>
    <w:rsid w:val="00D616A7"/>
    <w:rsid w:val="00D61BE0"/>
    <w:rsid w:val="00D6282C"/>
    <w:rsid w:val="00D62908"/>
    <w:rsid w:val="00D62B56"/>
    <w:rsid w:val="00D6320B"/>
    <w:rsid w:val="00D64599"/>
    <w:rsid w:val="00D64B55"/>
    <w:rsid w:val="00D66151"/>
    <w:rsid w:val="00D664E5"/>
    <w:rsid w:val="00D6767C"/>
    <w:rsid w:val="00D67827"/>
    <w:rsid w:val="00D700A4"/>
    <w:rsid w:val="00D7051B"/>
    <w:rsid w:val="00D7113F"/>
    <w:rsid w:val="00D71D0F"/>
    <w:rsid w:val="00D72FA5"/>
    <w:rsid w:val="00D733E8"/>
    <w:rsid w:val="00D733EC"/>
    <w:rsid w:val="00D73686"/>
    <w:rsid w:val="00D7461D"/>
    <w:rsid w:val="00D74D0B"/>
    <w:rsid w:val="00D775D2"/>
    <w:rsid w:val="00D77738"/>
    <w:rsid w:val="00D802B7"/>
    <w:rsid w:val="00D81187"/>
    <w:rsid w:val="00D8135F"/>
    <w:rsid w:val="00D81716"/>
    <w:rsid w:val="00D81877"/>
    <w:rsid w:val="00D81C55"/>
    <w:rsid w:val="00D83D79"/>
    <w:rsid w:val="00D859B5"/>
    <w:rsid w:val="00D85AB5"/>
    <w:rsid w:val="00D86295"/>
    <w:rsid w:val="00D862F8"/>
    <w:rsid w:val="00D8649C"/>
    <w:rsid w:val="00D878DA"/>
    <w:rsid w:val="00D8793B"/>
    <w:rsid w:val="00D879D1"/>
    <w:rsid w:val="00D91066"/>
    <w:rsid w:val="00D91A7B"/>
    <w:rsid w:val="00D92440"/>
    <w:rsid w:val="00D93CAC"/>
    <w:rsid w:val="00D96558"/>
    <w:rsid w:val="00D967FA"/>
    <w:rsid w:val="00D97AD0"/>
    <w:rsid w:val="00D97F9D"/>
    <w:rsid w:val="00DA0A3E"/>
    <w:rsid w:val="00DA1330"/>
    <w:rsid w:val="00DA1A7E"/>
    <w:rsid w:val="00DA1ADC"/>
    <w:rsid w:val="00DA1BF0"/>
    <w:rsid w:val="00DA3486"/>
    <w:rsid w:val="00DB06C0"/>
    <w:rsid w:val="00DB09D2"/>
    <w:rsid w:val="00DB30B2"/>
    <w:rsid w:val="00DB423A"/>
    <w:rsid w:val="00DB548B"/>
    <w:rsid w:val="00DB5765"/>
    <w:rsid w:val="00DB713F"/>
    <w:rsid w:val="00DC106C"/>
    <w:rsid w:val="00DC2259"/>
    <w:rsid w:val="00DC2C99"/>
    <w:rsid w:val="00DC2D12"/>
    <w:rsid w:val="00DC3718"/>
    <w:rsid w:val="00DC46C9"/>
    <w:rsid w:val="00DC47A4"/>
    <w:rsid w:val="00DC5248"/>
    <w:rsid w:val="00DC5914"/>
    <w:rsid w:val="00DC5C85"/>
    <w:rsid w:val="00DC67A1"/>
    <w:rsid w:val="00DC6A4D"/>
    <w:rsid w:val="00DD00D8"/>
    <w:rsid w:val="00DD058B"/>
    <w:rsid w:val="00DD08A7"/>
    <w:rsid w:val="00DD2029"/>
    <w:rsid w:val="00DD30B2"/>
    <w:rsid w:val="00DD34EF"/>
    <w:rsid w:val="00DD5825"/>
    <w:rsid w:val="00DD785C"/>
    <w:rsid w:val="00DD7874"/>
    <w:rsid w:val="00DE042F"/>
    <w:rsid w:val="00DE0604"/>
    <w:rsid w:val="00DE12D7"/>
    <w:rsid w:val="00DE196C"/>
    <w:rsid w:val="00DE2EF3"/>
    <w:rsid w:val="00DE617C"/>
    <w:rsid w:val="00DE6C7D"/>
    <w:rsid w:val="00DF2382"/>
    <w:rsid w:val="00DF4349"/>
    <w:rsid w:val="00DF47F2"/>
    <w:rsid w:val="00DF62FA"/>
    <w:rsid w:val="00E0062D"/>
    <w:rsid w:val="00E016DB"/>
    <w:rsid w:val="00E0197C"/>
    <w:rsid w:val="00E0237A"/>
    <w:rsid w:val="00E0254F"/>
    <w:rsid w:val="00E02B10"/>
    <w:rsid w:val="00E04084"/>
    <w:rsid w:val="00E04B3B"/>
    <w:rsid w:val="00E07445"/>
    <w:rsid w:val="00E10DED"/>
    <w:rsid w:val="00E111E4"/>
    <w:rsid w:val="00E11F09"/>
    <w:rsid w:val="00E140BB"/>
    <w:rsid w:val="00E142C1"/>
    <w:rsid w:val="00E14BB9"/>
    <w:rsid w:val="00E14F5A"/>
    <w:rsid w:val="00E15B74"/>
    <w:rsid w:val="00E15BF2"/>
    <w:rsid w:val="00E17157"/>
    <w:rsid w:val="00E17D8F"/>
    <w:rsid w:val="00E2032A"/>
    <w:rsid w:val="00E21DE9"/>
    <w:rsid w:val="00E21F15"/>
    <w:rsid w:val="00E2327B"/>
    <w:rsid w:val="00E24AF7"/>
    <w:rsid w:val="00E2632E"/>
    <w:rsid w:val="00E302D9"/>
    <w:rsid w:val="00E31502"/>
    <w:rsid w:val="00E32462"/>
    <w:rsid w:val="00E33189"/>
    <w:rsid w:val="00E3463F"/>
    <w:rsid w:val="00E34B6C"/>
    <w:rsid w:val="00E361F5"/>
    <w:rsid w:val="00E406E1"/>
    <w:rsid w:val="00E40FE6"/>
    <w:rsid w:val="00E40FE8"/>
    <w:rsid w:val="00E41446"/>
    <w:rsid w:val="00E4193F"/>
    <w:rsid w:val="00E41B0C"/>
    <w:rsid w:val="00E42341"/>
    <w:rsid w:val="00E42867"/>
    <w:rsid w:val="00E42BD0"/>
    <w:rsid w:val="00E42CBB"/>
    <w:rsid w:val="00E43520"/>
    <w:rsid w:val="00E43D61"/>
    <w:rsid w:val="00E44B8A"/>
    <w:rsid w:val="00E46295"/>
    <w:rsid w:val="00E47AC6"/>
    <w:rsid w:val="00E513FC"/>
    <w:rsid w:val="00E516D9"/>
    <w:rsid w:val="00E533B7"/>
    <w:rsid w:val="00E54E2C"/>
    <w:rsid w:val="00E55458"/>
    <w:rsid w:val="00E5716A"/>
    <w:rsid w:val="00E6166A"/>
    <w:rsid w:val="00E64356"/>
    <w:rsid w:val="00E65BE5"/>
    <w:rsid w:val="00E6682E"/>
    <w:rsid w:val="00E67A22"/>
    <w:rsid w:val="00E7044D"/>
    <w:rsid w:val="00E704EA"/>
    <w:rsid w:val="00E70611"/>
    <w:rsid w:val="00E70D37"/>
    <w:rsid w:val="00E713CD"/>
    <w:rsid w:val="00E736FF"/>
    <w:rsid w:val="00E764C3"/>
    <w:rsid w:val="00E765EF"/>
    <w:rsid w:val="00E82D9D"/>
    <w:rsid w:val="00E83C85"/>
    <w:rsid w:val="00E84623"/>
    <w:rsid w:val="00E85902"/>
    <w:rsid w:val="00E85CDF"/>
    <w:rsid w:val="00E86896"/>
    <w:rsid w:val="00E872C7"/>
    <w:rsid w:val="00E87808"/>
    <w:rsid w:val="00E8790A"/>
    <w:rsid w:val="00E87CD3"/>
    <w:rsid w:val="00E9064F"/>
    <w:rsid w:val="00E910A9"/>
    <w:rsid w:val="00E91247"/>
    <w:rsid w:val="00E91C68"/>
    <w:rsid w:val="00E92C64"/>
    <w:rsid w:val="00E95222"/>
    <w:rsid w:val="00E958E8"/>
    <w:rsid w:val="00E96623"/>
    <w:rsid w:val="00E96668"/>
    <w:rsid w:val="00EA0652"/>
    <w:rsid w:val="00EA2DB8"/>
    <w:rsid w:val="00EA5168"/>
    <w:rsid w:val="00EA5DFA"/>
    <w:rsid w:val="00EA6F7D"/>
    <w:rsid w:val="00EB1681"/>
    <w:rsid w:val="00EB2CB4"/>
    <w:rsid w:val="00EB3E97"/>
    <w:rsid w:val="00EC26FE"/>
    <w:rsid w:val="00EC3B54"/>
    <w:rsid w:val="00EC412F"/>
    <w:rsid w:val="00EC4979"/>
    <w:rsid w:val="00EC7005"/>
    <w:rsid w:val="00EC7331"/>
    <w:rsid w:val="00EC78FA"/>
    <w:rsid w:val="00ED01AD"/>
    <w:rsid w:val="00ED101D"/>
    <w:rsid w:val="00ED1760"/>
    <w:rsid w:val="00ED2146"/>
    <w:rsid w:val="00ED302F"/>
    <w:rsid w:val="00ED3A4A"/>
    <w:rsid w:val="00ED43BB"/>
    <w:rsid w:val="00ED5710"/>
    <w:rsid w:val="00ED762C"/>
    <w:rsid w:val="00EE5946"/>
    <w:rsid w:val="00EE63FC"/>
    <w:rsid w:val="00EE6849"/>
    <w:rsid w:val="00EF0613"/>
    <w:rsid w:val="00EF2A94"/>
    <w:rsid w:val="00EF52A4"/>
    <w:rsid w:val="00EF5B92"/>
    <w:rsid w:val="00F0078D"/>
    <w:rsid w:val="00F023EE"/>
    <w:rsid w:val="00F04E5C"/>
    <w:rsid w:val="00F0582D"/>
    <w:rsid w:val="00F06F74"/>
    <w:rsid w:val="00F07A2D"/>
    <w:rsid w:val="00F11249"/>
    <w:rsid w:val="00F11F0B"/>
    <w:rsid w:val="00F1265E"/>
    <w:rsid w:val="00F129BB"/>
    <w:rsid w:val="00F13F50"/>
    <w:rsid w:val="00F14A5A"/>
    <w:rsid w:val="00F14C44"/>
    <w:rsid w:val="00F16B52"/>
    <w:rsid w:val="00F17658"/>
    <w:rsid w:val="00F17C0E"/>
    <w:rsid w:val="00F210AC"/>
    <w:rsid w:val="00F21403"/>
    <w:rsid w:val="00F249C2"/>
    <w:rsid w:val="00F253C7"/>
    <w:rsid w:val="00F25FB0"/>
    <w:rsid w:val="00F2733C"/>
    <w:rsid w:val="00F279A4"/>
    <w:rsid w:val="00F3097D"/>
    <w:rsid w:val="00F30C0A"/>
    <w:rsid w:val="00F310D6"/>
    <w:rsid w:val="00F311C7"/>
    <w:rsid w:val="00F35481"/>
    <w:rsid w:val="00F354C5"/>
    <w:rsid w:val="00F3562D"/>
    <w:rsid w:val="00F3664A"/>
    <w:rsid w:val="00F4209F"/>
    <w:rsid w:val="00F42383"/>
    <w:rsid w:val="00F438B4"/>
    <w:rsid w:val="00F43CC8"/>
    <w:rsid w:val="00F4428C"/>
    <w:rsid w:val="00F4468D"/>
    <w:rsid w:val="00F44B88"/>
    <w:rsid w:val="00F469A1"/>
    <w:rsid w:val="00F47BA8"/>
    <w:rsid w:val="00F50150"/>
    <w:rsid w:val="00F5048C"/>
    <w:rsid w:val="00F52791"/>
    <w:rsid w:val="00F54043"/>
    <w:rsid w:val="00F557C1"/>
    <w:rsid w:val="00F574E8"/>
    <w:rsid w:val="00F577C0"/>
    <w:rsid w:val="00F57A69"/>
    <w:rsid w:val="00F613BC"/>
    <w:rsid w:val="00F62E56"/>
    <w:rsid w:val="00F64C25"/>
    <w:rsid w:val="00F6525F"/>
    <w:rsid w:val="00F6533F"/>
    <w:rsid w:val="00F6669A"/>
    <w:rsid w:val="00F67366"/>
    <w:rsid w:val="00F67D49"/>
    <w:rsid w:val="00F70567"/>
    <w:rsid w:val="00F70C85"/>
    <w:rsid w:val="00F70E3F"/>
    <w:rsid w:val="00F70FC0"/>
    <w:rsid w:val="00F7161F"/>
    <w:rsid w:val="00F718F5"/>
    <w:rsid w:val="00F71B14"/>
    <w:rsid w:val="00F731E5"/>
    <w:rsid w:val="00F7330B"/>
    <w:rsid w:val="00F73509"/>
    <w:rsid w:val="00F73D5D"/>
    <w:rsid w:val="00F763B1"/>
    <w:rsid w:val="00F765D2"/>
    <w:rsid w:val="00F81319"/>
    <w:rsid w:val="00F8194F"/>
    <w:rsid w:val="00F819C2"/>
    <w:rsid w:val="00F824E2"/>
    <w:rsid w:val="00F8574E"/>
    <w:rsid w:val="00F86FF1"/>
    <w:rsid w:val="00F92BB1"/>
    <w:rsid w:val="00F95905"/>
    <w:rsid w:val="00F95957"/>
    <w:rsid w:val="00F95B64"/>
    <w:rsid w:val="00F967F6"/>
    <w:rsid w:val="00FA2A9F"/>
    <w:rsid w:val="00FA2F55"/>
    <w:rsid w:val="00FA4DDD"/>
    <w:rsid w:val="00FA51E7"/>
    <w:rsid w:val="00FB01B5"/>
    <w:rsid w:val="00FB0DA0"/>
    <w:rsid w:val="00FB0DD2"/>
    <w:rsid w:val="00FB2D8A"/>
    <w:rsid w:val="00FB3F04"/>
    <w:rsid w:val="00FB3FF4"/>
    <w:rsid w:val="00FB4BBC"/>
    <w:rsid w:val="00FB6B9B"/>
    <w:rsid w:val="00FC1F1B"/>
    <w:rsid w:val="00FC3036"/>
    <w:rsid w:val="00FC359B"/>
    <w:rsid w:val="00FC3A86"/>
    <w:rsid w:val="00FC4760"/>
    <w:rsid w:val="00FD2D9B"/>
    <w:rsid w:val="00FD4696"/>
    <w:rsid w:val="00FD5188"/>
    <w:rsid w:val="00FD52DD"/>
    <w:rsid w:val="00FD740F"/>
    <w:rsid w:val="00FE011D"/>
    <w:rsid w:val="00FE0561"/>
    <w:rsid w:val="00FE0974"/>
    <w:rsid w:val="00FE2FAF"/>
    <w:rsid w:val="00FE504D"/>
    <w:rsid w:val="00FE68A6"/>
    <w:rsid w:val="00FE76FD"/>
    <w:rsid w:val="00FF0C6B"/>
    <w:rsid w:val="00FF36D3"/>
    <w:rsid w:val="00FF3D8E"/>
    <w:rsid w:val="00FF4F02"/>
    <w:rsid w:val="01B870A1"/>
    <w:rsid w:val="023248FF"/>
    <w:rsid w:val="025739FF"/>
    <w:rsid w:val="02680801"/>
    <w:rsid w:val="02855198"/>
    <w:rsid w:val="02963DFC"/>
    <w:rsid w:val="032B04B4"/>
    <w:rsid w:val="037D18F7"/>
    <w:rsid w:val="04965A06"/>
    <w:rsid w:val="04BA2F83"/>
    <w:rsid w:val="04CE3D21"/>
    <w:rsid w:val="05092745"/>
    <w:rsid w:val="056F3ED5"/>
    <w:rsid w:val="057A5163"/>
    <w:rsid w:val="05B03557"/>
    <w:rsid w:val="06334F94"/>
    <w:rsid w:val="06B3208A"/>
    <w:rsid w:val="06D0187F"/>
    <w:rsid w:val="07764365"/>
    <w:rsid w:val="07AE10DC"/>
    <w:rsid w:val="07B4635B"/>
    <w:rsid w:val="08716E9D"/>
    <w:rsid w:val="08C54418"/>
    <w:rsid w:val="09743288"/>
    <w:rsid w:val="09F064E7"/>
    <w:rsid w:val="0AF132DB"/>
    <w:rsid w:val="0B7E040B"/>
    <w:rsid w:val="0B894B7C"/>
    <w:rsid w:val="0BAF18F9"/>
    <w:rsid w:val="0BBD43B9"/>
    <w:rsid w:val="0C143459"/>
    <w:rsid w:val="0CE85287"/>
    <w:rsid w:val="0D505B82"/>
    <w:rsid w:val="0D835636"/>
    <w:rsid w:val="0DB102DE"/>
    <w:rsid w:val="0F3C5775"/>
    <w:rsid w:val="0F5229B3"/>
    <w:rsid w:val="0FD30707"/>
    <w:rsid w:val="0FE930F8"/>
    <w:rsid w:val="0FEA0DD6"/>
    <w:rsid w:val="106B4B92"/>
    <w:rsid w:val="10912834"/>
    <w:rsid w:val="10A6190E"/>
    <w:rsid w:val="10AE1E21"/>
    <w:rsid w:val="11535A27"/>
    <w:rsid w:val="11AF0294"/>
    <w:rsid w:val="11B12F3B"/>
    <w:rsid w:val="12406DA8"/>
    <w:rsid w:val="12D52A0C"/>
    <w:rsid w:val="134624E6"/>
    <w:rsid w:val="13710EB6"/>
    <w:rsid w:val="13BA7920"/>
    <w:rsid w:val="14123430"/>
    <w:rsid w:val="149F4D92"/>
    <w:rsid w:val="14D427FB"/>
    <w:rsid w:val="14D71268"/>
    <w:rsid w:val="14F90B90"/>
    <w:rsid w:val="15594B55"/>
    <w:rsid w:val="15825823"/>
    <w:rsid w:val="159B6ECC"/>
    <w:rsid w:val="159E5724"/>
    <w:rsid w:val="15F250B5"/>
    <w:rsid w:val="163B54B6"/>
    <w:rsid w:val="16E5036D"/>
    <w:rsid w:val="1746570F"/>
    <w:rsid w:val="17525DAB"/>
    <w:rsid w:val="177D4307"/>
    <w:rsid w:val="17BF1ADD"/>
    <w:rsid w:val="17CD529B"/>
    <w:rsid w:val="17D434C8"/>
    <w:rsid w:val="17FD50E6"/>
    <w:rsid w:val="180B1B5A"/>
    <w:rsid w:val="180D2B8D"/>
    <w:rsid w:val="180F025E"/>
    <w:rsid w:val="18AE37F5"/>
    <w:rsid w:val="18BD7D2B"/>
    <w:rsid w:val="18FA7DD4"/>
    <w:rsid w:val="19537000"/>
    <w:rsid w:val="19F354C6"/>
    <w:rsid w:val="1A4D6613"/>
    <w:rsid w:val="1ACA4F21"/>
    <w:rsid w:val="1B194B4F"/>
    <w:rsid w:val="1B5D434A"/>
    <w:rsid w:val="1B81258C"/>
    <w:rsid w:val="1BDC0550"/>
    <w:rsid w:val="1C252021"/>
    <w:rsid w:val="1C316F77"/>
    <w:rsid w:val="1C3E55D4"/>
    <w:rsid w:val="1CE45867"/>
    <w:rsid w:val="1D0758FE"/>
    <w:rsid w:val="1D552DD9"/>
    <w:rsid w:val="1D6066CE"/>
    <w:rsid w:val="1D612365"/>
    <w:rsid w:val="1D6762B9"/>
    <w:rsid w:val="1D7238DD"/>
    <w:rsid w:val="1D91151F"/>
    <w:rsid w:val="1DA0383E"/>
    <w:rsid w:val="1DA879A4"/>
    <w:rsid w:val="1DB43015"/>
    <w:rsid w:val="1E7352C5"/>
    <w:rsid w:val="1E931436"/>
    <w:rsid w:val="1EC00764"/>
    <w:rsid w:val="1EFA22F3"/>
    <w:rsid w:val="1F27225A"/>
    <w:rsid w:val="1FC22A64"/>
    <w:rsid w:val="1FD60573"/>
    <w:rsid w:val="20745EC2"/>
    <w:rsid w:val="20914A29"/>
    <w:rsid w:val="212C5617"/>
    <w:rsid w:val="21325FE2"/>
    <w:rsid w:val="21A5222E"/>
    <w:rsid w:val="224F6E85"/>
    <w:rsid w:val="229A4BD1"/>
    <w:rsid w:val="22DB176D"/>
    <w:rsid w:val="23415513"/>
    <w:rsid w:val="23BB17E3"/>
    <w:rsid w:val="23D33568"/>
    <w:rsid w:val="24257983"/>
    <w:rsid w:val="24530344"/>
    <w:rsid w:val="248746BA"/>
    <w:rsid w:val="24A34335"/>
    <w:rsid w:val="24E87C1F"/>
    <w:rsid w:val="2514641A"/>
    <w:rsid w:val="252F2039"/>
    <w:rsid w:val="256D2DDB"/>
    <w:rsid w:val="262C4D18"/>
    <w:rsid w:val="267F7F87"/>
    <w:rsid w:val="269243E7"/>
    <w:rsid w:val="26C27DF3"/>
    <w:rsid w:val="26C3674A"/>
    <w:rsid w:val="26DA4F93"/>
    <w:rsid w:val="276C4A96"/>
    <w:rsid w:val="27791CF6"/>
    <w:rsid w:val="278E72E5"/>
    <w:rsid w:val="27C33276"/>
    <w:rsid w:val="289429CF"/>
    <w:rsid w:val="28A95D87"/>
    <w:rsid w:val="29041FB0"/>
    <w:rsid w:val="2960685A"/>
    <w:rsid w:val="29626725"/>
    <w:rsid w:val="2A143B4E"/>
    <w:rsid w:val="2B2965EE"/>
    <w:rsid w:val="2B797161"/>
    <w:rsid w:val="2BF57912"/>
    <w:rsid w:val="2C572D51"/>
    <w:rsid w:val="2C5D35BA"/>
    <w:rsid w:val="2C694D08"/>
    <w:rsid w:val="2D0C3C21"/>
    <w:rsid w:val="2D3922D1"/>
    <w:rsid w:val="2D5847AA"/>
    <w:rsid w:val="2D7B19C0"/>
    <w:rsid w:val="2DC65177"/>
    <w:rsid w:val="2DE25E72"/>
    <w:rsid w:val="2E542883"/>
    <w:rsid w:val="2E56322B"/>
    <w:rsid w:val="2EB86D24"/>
    <w:rsid w:val="2F9F1E99"/>
    <w:rsid w:val="30050C01"/>
    <w:rsid w:val="304370DB"/>
    <w:rsid w:val="311F3B5B"/>
    <w:rsid w:val="320A09D6"/>
    <w:rsid w:val="32B45E84"/>
    <w:rsid w:val="32CC7A5E"/>
    <w:rsid w:val="32CD7A68"/>
    <w:rsid w:val="32DA6D7E"/>
    <w:rsid w:val="335D3E22"/>
    <w:rsid w:val="338A07B4"/>
    <w:rsid w:val="33B83A6B"/>
    <w:rsid w:val="33E9341A"/>
    <w:rsid w:val="33F91286"/>
    <w:rsid w:val="343D03F7"/>
    <w:rsid w:val="348D63C4"/>
    <w:rsid w:val="34AB3FC5"/>
    <w:rsid w:val="34E11663"/>
    <w:rsid w:val="35020CF9"/>
    <w:rsid w:val="35023129"/>
    <w:rsid w:val="351A356F"/>
    <w:rsid w:val="35646F86"/>
    <w:rsid w:val="359F3EDA"/>
    <w:rsid w:val="35F70AEA"/>
    <w:rsid w:val="364C3D1C"/>
    <w:rsid w:val="36965119"/>
    <w:rsid w:val="36A15025"/>
    <w:rsid w:val="36AE38A4"/>
    <w:rsid w:val="36D502B0"/>
    <w:rsid w:val="37083255"/>
    <w:rsid w:val="371371EE"/>
    <w:rsid w:val="3730154B"/>
    <w:rsid w:val="37593B68"/>
    <w:rsid w:val="377C33DF"/>
    <w:rsid w:val="37B072DB"/>
    <w:rsid w:val="37F8642C"/>
    <w:rsid w:val="382F25CF"/>
    <w:rsid w:val="38F85F83"/>
    <w:rsid w:val="3AA72FDB"/>
    <w:rsid w:val="3B6D0C9B"/>
    <w:rsid w:val="3B946545"/>
    <w:rsid w:val="3BA25687"/>
    <w:rsid w:val="3C0315AF"/>
    <w:rsid w:val="3C417421"/>
    <w:rsid w:val="3C5A459A"/>
    <w:rsid w:val="3C6C7F8D"/>
    <w:rsid w:val="3CBA7A8C"/>
    <w:rsid w:val="3D0F3613"/>
    <w:rsid w:val="3D5E4F3B"/>
    <w:rsid w:val="3E48150D"/>
    <w:rsid w:val="3E8336C9"/>
    <w:rsid w:val="3EC8270B"/>
    <w:rsid w:val="3F016242"/>
    <w:rsid w:val="3F632191"/>
    <w:rsid w:val="3FB55FC2"/>
    <w:rsid w:val="403A46DD"/>
    <w:rsid w:val="408D45F8"/>
    <w:rsid w:val="409C72DA"/>
    <w:rsid w:val="40BD1B6B"/>
    <w:rsid w:val="41307507"/>
    <w:rsid w:val="414D528E"/>
    <w:rsid w:val="424F7906"/>
    <w:rsid w:val="42A62394"/>
    <w:rsid w:val="42AF45C7"/>
    <w:rsid w:val="42F4322E"/>
    <w:rsid w:val="42FC1E3E"/>
    <w:rsid w:val="437C1E1E"/>
    <w:rsid w:val="43AB534F"/>
    <w:rsid w:val="43E377B2"/>
    <w:rsid w:val="44511355"/>
    <w:rsid w:val="44AA7F43"/>
    <w:rsid w:val="4539547E"/>
    <w:rsid w:val="457E60C5"/>
    <w:rsid w:val="45E408FE"/>
    <w:rsid w:val="46937842"/>
    <w:rsid w:val="469A2946"/>
    <w:rsid w:val="46DE1BF8"/>
    <w:rsid w:val="474634C9"/>
    <w:rsid w:val="47BA0E7D"/>
    <w:rsid w:val="48094A0C"/>
    <w:rsid w:val="48535060"/>
    <w:rsid w:val="4863504B"/>
    <w:rsid w:val="493F2A37"/>
    <w:rsid w:val="49B51CEA"/>
    <w:rsid w:val="4A047826"/>
    <w:rsid w:val="4B3E43DC"/>
    <w:rsid w:val="4B9F6E4A"/>
    <w:rsid w:val="4BDA577A"/>
    <w:rsid w:val="4C186CE6"/>
    <w:rsid w:val="4C8C4D53"/>
    <w:rsid w:val="4D230685"/>
    <w:rsid w:val="4DEC0201"/>
    <w:rsid w:val="4DF634A3"/>
    <w:rsid w:val="4E342F38"/>
    <w:rsid w:val="4F1836D9"/>
    <w:rsid w:val="4F30033E"/>
    <w:rsid w:val="4FA34E5A"/>
    <w:rsid w:val="4FB03D44"/>
    <w:rsid w:val="50252BC4"/>
    <w:rsid w:val="503A5AFB"/>
    <w:rsid w:val="510115D3"/>
    <w:rsid w:val="510C4306"/>
    <w:rsid w:val="511519AA"/>
    <w:rsid w:val="51ED2ECE"/>
    <w:rsid w:val="51FC0E8B"/>
    <w:rsid w:val="524C51FA"/>
    <w:rsid w:val="52553FC0"/>
    <w:rsid w:val="52F7756C"/>
    <w:rsid w:val="531D5B52"/>
    <w:rsid w:val="53764934"/>
    <w:rsid w:val="538545D7"/>
    <w:rsid w:val="53F85F5C"/>
    <w:rsid w:val="54432A67"/>
    <w:rsid w:val="54BE0739"/>
    <w:rsid w:val="550D47D3"/>
    <w:rsid w:val="55124B31"/>
    <w:rsid w:val="551D3643"/>
    <w:rsid w:val="553F127F"/>
    <w:rsid w:val="558A2919"/>
    <w:rsid w:val="55C914EE"/>
    <w:rsid w:val="55C929C1"/>
    <w:rsid w:val="55CE0F25"/>
    <w:rsid w:val="56B740FF"/>
    <w:rsid w:val="5750795A"/>
    <w:rsid w:val="57F347A6"/>
    <w:rsid w:val="58754FD2"/>
    <w:rsid w:val="58C9327A"/>
    <w:rsid w:val="590C20D1"/>
    <w:rsid w:val="595F72AE"/>
    <w:rsid w:val="59EF15D7"/>
    <w:rsid w:val="5A2E54EE"/>
    <w:rsid w:val="5A3226AA"/>
    <w:rsid w:val="5A425322"/>
    <w:rsid w:val="5A781FB9"/>
    <w:rsid w:val="5AF50835"/>
    <w:rsid w:val="5B266C40"/>
    <w:rsid w:val="5B4155FA"/>
    <w:rsid w:val="5B5043B3"/>
    <w:rsid w:val="5C715372"/>
    <w:rsid w:val="5CA258E5"/>
    <w:rsid w:val="5D59325B"/>
    <w:rsid w:val="5DAF2C81"/>
    <w:rsid w:val="5E042564"/>
    <w:rsid w:val="5EC75A8B"/>
    <w:rsid w:val="5ED47D3D"/>
    <w:rsid w:val="5F1366BF"/>
    <w:rsid w:val="605E2963"/>
    <w:rsid w:val="61CF0EB9"/>
    <w:rsid w:val="61FB58F9"/>
    <w:rsid w:val="62566E5A"/>
    <w:rsid w:val="629217E1"/>
    <w:rsid w:val="62966274"/>
    <w:rsid w:val="62AB4D1B"/>
    <w:rsid w:val="62B03FFA"/>
    <w:rsid w:val="62E111BD"/>
    <w:rsid w:val="63210C43"/>
    <w:rsid w:val="632F57E5"/>
    <w:rsid w:val="635C2EC9"/>
    <w:rsid w:val="63715D51"/>
    <w:rsid w:val="63FF2099"/>
    <w:rsid w:val="64047801"/>
    <w:rsid w:val="641D5C18"/>
    <w:rsid w:val="642739E1"/>
    <w:rsid w:val="645E2EA8"/>
    <w:rsid w:val="6510697C"/>
    <w:rsid w:val="656D07F8"/>
    <w:rsid w:val="65C35C4A"/>
    <w:rsid w:val="65DF07DC"/>
    <w:rsid w:val="65F42C7B"/>
    <w:rsid w:val="661131D5"/>
    <w:rsid w:val="661B33AD"/>
    <w:rsid w:val="66B4038B"/>
    <w:rsid w:val="66BE0E26"/>
    <w:rsid w:val="673C76CF"/>
    <w:rsid w:val="67E5074E"/>
    <w:rsid w:val="680B005F"/>
    <w:rsid w:val="68BF2482"/>
    <w:rsid w:val="68CE6E01"/>
    <w:rsid w:val="69D63CAD"/>
    <w:rsid w:val="6A432464"/>
    <w:rsid w:val="6A4E246E"/>
    <w:rsid w:val="6B1E77CF"/>
    <w:rsid w:val="6B38731E"/>
    <w:rsid w:val="6B39044D"/>
    <w:rsid w:val="6B9504FB"/>
    <w:rsid w:val="6BA514A8"/>
    <w:rsid w:val="6BC9513C"/>
    <w:rsid w:val="6C1C72EC"/>
    <w:rsid w:val="6C2B6005"/>
    <w:rsid w:val="6C4661F8"/>
    <w:rsid w:val="6C54518C"/>
    <w:rsid w:val="6C685814"/>
    <w:rsid w:val="6D001A97"/>
    <w:rsid w:val="6D017EB9"/>
    <w:rsid w:val="6D747CDF"/>
    <w:rsid w:val="6DFC63E9"/>
    <w:rsid w:val="6DFFDDB6"/>
    <w:rsid w:val="6E152539"/>
    <w:rsid w:val="6E975E3D"/>
    <w:rsid w:val="6F5F4D81"/>
    <w:rsid w:val="6F8F29CD"/>
    <w:rsid w:val="6FB12914"/>
    <w:rsid w:val="6FC63FDE"/>
    <w:rsid w:val="6FD56030"/>
    <w:rsid w:val="70521B20"/>
    <w:rsid w:val="705D67D1"/>
    <w:rsid w:val="70753381"/>
    <w:rsid w:val="70F8393F"/>
    <w:rsid w:val="711704A0"/>
    <w:rsid w:val="714F4E19"/>
    <w:rsid w:val="720E5A2E"/>
    <w:rsid w:val="72496B0C"/>
    <w:rsid w:val="72BC2C46"/>
    <w:rsid w:val="72D72321"/>
    <w:rsid w:val="73E17CFF"/>
    <w:rsid w:val="743F7970"/>
    <w:rsid w:val="74975364"/>
    <w:rsid w:val="749E2A1F"/>
    <w:rsid w:val="74C070A7"/>
    <w:rsid w:val="74F63D21"/>
    <w:rsid w:val="76025724"/>
    <w:rsid w:val="760F58AD"/>
    <w:rsid w:val="763529C8"/>
    <w:rsid w:val="765000A9"/>
    <w:rsid w:val="768E7F77"/>
    <w:rsid w:val="776D5F3D"/>
    <w:rsid w:val="77AB69F3"/>
    <w:rsid w:val="78507148"/>
    <w:rsid w:val="788E5741"/>
    <w:rsid w:val="78CE2999"/>
    <w:rsid w:val="7A29393E"/>
    <w:rsid w:val="7A307C87"/>
    <w:rsid w:val="7A851726"/>
    <w:rsid w:val="7AA06934"/>
    <w:rsid w:val="7ABD694C"/>
    <w:rsid w:val="7AC15A36"/>
    <w:rsid w:val="7AF051F1"/>
    <w:rsid w:val="7B6D3E0C"/>
    <w:rsid w:val="7BD61794"/>
    <w:rsid w:val="7D753462"/>
    <w:rsid w:val="7DAF3557"/>
    <w:rsid w:val="7FCB3784"/>
    <w:rsid w:val="FFF0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jc w:val="center"/>
      <w:outlineLvl w:val="0"/>
    </w:pPr>
    <w:rPr>
      <w:rFonts w:ascii="楷体_GB2312" w:eastAsia="楷体_GB2312"/>
      <w:b/>
      <w:bCs/>
    </w:rPr>
  </w:style>
  <w:style w:type="paragraph" w:styleId="5">
    <w:name w:val="heading 2"/>
    <w:basedOn w:val="1"/>
    <w:next w:val="1"/>
    <w:link w:val="43"/>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link w:val="44"/>
    <w:qFormat/>
    <w:uiPriority w:val="0"/>
    <w:pPr>
      <w:keepNext/>
      <w:keepLines/>
      <w:spacing w:before="260" w:after="260" w:line="416" w:lineRule="auto"/>
      <w:outlineLvl w:val="2"/>
    </w:pPr>
    <w:rPr>
      <w:b/>
      <w:bCs/>
      <w:sz w:val="32"/>
      <w:szCs w:val="32"/>
    </w:rPr>
  </w:style>
  <w:style w:type="paragraph" w:styleId="7">
    <w:name w:val="heading 4"/>
    <w:basedOn w:val="1"/>
    <w:next w:val="1"/>
    <w:link w:val="45"/>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6"/>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11">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character" w:default="1" w:styleId="36">
    <w:name w:val="Default Paragraph Font"/>
    <w:qFormat/>
    <w:uiPriority w:val="0"/>
    <w:rPr>
      <w:rFonts w:ascii="Times New Roman" w:hAnsi="Times New Roman" w:eastAsia="宋体" w:cs="Times New Roman"/>
    </w:rPr>
  </w:style>
  <w:style w:type="table" w:default="1" w:styleId="3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ind w:left="480" w:hanging="480" w:hangingChars="200"/>
    </w:pPr>
    <w:rPr>
      <w:rFonts w:ascii="Times New Roman" w:hAnsi="Times New Roman" w:eastAsia="宋体" w:cs="Times New Roman"/>
      <w:sz w:val="24"/>
    </w:rPr>
  </w:style>
  <w:style w:type="paragraph" w:customStyle="1" w:styleId="9">
    <w:name w:val="样式 正文缩进 + 首行缩进:  2 字符"/>
    <w:basedOn w:val="10"/>
    <w:link w:val="48"/>
    <w:qFormat/>
    <w:uiPriority w:val="0"/>
    <w:pPr>
      <w:adjustRightInd/>
      <w:spacing w:line="360" w:lineRule="auto"/>
      <w:ind w:firstLine="200" w:firstLineChars="200"/>
      <w:textAlignment w:val="auto"/>
    </w:pPr>
    <w:rPr>
      <w:kern w:val="2"/>
      <w:sz w:val="24"/>
      <w:lang w:val="zh-CN"/>
    </w:rPr>
  </w:style>
  <w:style w:type="paragraph" w:styleId="10">
    <w:name w:val="Normal Indent"/>
    <w:basedOn w:val="1"/>
    <w:next w:val="1"/>
    <w:link w:val="47"/>
    <w:qFormat/>
    <w:uiPriority w:val="0"/>
    <w:pPr>
      <w:adjustRightInd w:val="0"/>
      <w:spacing w:line="312" w:lineRule="atLeast"/>
      <w:ind w:firstLine="420"/>
      <w:textAlignment w:val="baseline"/>
    </w:pPr>
    <w:rPr>
      <w:kern w:val="0"/>
      <w:szCs w:val="20"/>
    </w:rPr>
  </w:style>
  <w:style w:type="paragraph" w:styleId="12">
    <w:name w:val="table of authorities"/>
    <w:basedOn w:val="1"/>
    <w:next w:val="1"/>
    <w:autoRedefine/>
    <w:unhideWhenUsed/>
    <w:qFormat/>
    <w:uiPriority w:val="99"/>
    <w:pPr>
      <w:ind w:left="420" w:leftChars="200"/>
    </w:pPr>
  </w:style>
  <w:style w:type="paragraph" w:styleId="13">
    <w:name w:val="caption"/>
    <w:basedOn w:val="1"/>
    <w:next w:val="1"/>
    <w:qFormat/>
    <w:uiPriority w:val="35"/>
    <w:pPr>
      <w:widowControl/>
      <w:spacing w:after="120" w:line="360" w:lineRule="auto"/>
      <w:jc w:val="center"/>
    </w:pPr>
    <w:rPr>
      <w:rFonts w:ascii="Times New Roman" w:hAnsi="Times New Roman" w:eastAsia="黑体"/>
      <w:spacing w:val="10"/>
      <w:kern w:val="0"/>
      <w:sz w:val="24"/>
      <w:szCs w:val="20"/>
    </w:rPr>
  </w:style>
  <w:style w:type="paragraph" w:styleId="14">
    <w:name w:val="Document Map"/>
    <w:basedOn w:val="1"/>
    <w:autoRedefine/>
    <w:qFormat/>
    <w:uiPriority w:val="0"/>
    <w:pPr>
      <w:shd w:val="clear" w:color="auto" w:fill="000080"/>
    </w:pPr>
    <w:rPr>
      <w:rFonts w:ascii="Times New Roman" w:hAnsi="Times New Roman" w:eastAsia="宋体" w:cs="Times New Roman"/>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link w:val="49"/>
    <w:qFormat/>
    <w:uiPriority w:val="0"/>
    <w:pPr>
      <w:spacing w:after="120"/>
    </w:pPr>
  </w:style>
  <w:style w:type="paragraph" w:styleId="17">
    <w:name w:val="Body Text First Indent"/>
    <w:basedOn w:val="16"/>
    <w:link w:val="50"/>
    <w:qFormat/>
    <w:uiPriority w:val="0"/>
    <w:pPr>
      <w:ind w:firstLine="420" w:firstLineChars="100"/>
    </w:pPr>
  </w:style>
  <w:style w:type="paragraph" w:styleId="18">
    <w:name w:val="Block Text"/>
    <w:basedOn w:val="1"/>
    <w:autoRedefine/>
    <w:qFormat/>
    <w:uiPriority w:val="99"/>
    <w:pPr>
      <w:adjustRightInd w:val="0"/>
      <w:spacing w:line="360" w:lineRule="atLeast"/>
      <w:ind w:left="1260" w:leftChars="525" w:right="22" w:rightChars="9" w:firstLine="200" w:firstLineChars="200"/>
      <w:jc w:val="left"/>
      <w:textAlignment w:val="baseline"/>
    </w:pPr>
    <w:rPr>
      <w:rFonts w:ascii="DFKai-SB" w:hAnsi="DFKai-SB" w:eastAsia="DFKai-SB" w:cs="DFKai-SB"/>
      <w:kern w:val="0"/>
      <w:sz w:val="28"/>
      <w:szCs w:val="28"/>
      <w:lang w:eastAsia="zh-TW"/>
    </w:rPr>
  </w:style>
  <w:style w:type="paragraph" w:styleId="19">
    <w:name w:val="toc 3"/>
    <w:basedOn w:val="1"/>
    <w:next w:val="1"/>
    <w:autoRedefine/>
    <w:qFormat/>
    <w:uiPriority w:val="39"/>
    <w:pPr>
      <w:ind w:left="840" w:leftChars="400"/>
    </w:pPr>
    <w:rPr>
      <w:rFonts w:ascii="Times New Roman" w:hAnsi="Times New Roman" w:eastAsia="宋体" w:cs="Times New Roman"/>
    </w:rPr>
  </w:style>
  <w:style w:type="paragraph" w:styleId="20">
    <w:name w:val="Plain Text"/>
    <w:basedOn w:val="1"/>
    <w:next w:val="21"/>
    <w:link w:val="5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1">
    <w:name w:val="toc 2"/>
    <w:basedOn w:val="1"/>
    <w:next w:val="1"/>
    <w:qFormat/>
    <w:uiPriority w:val="39"/>
    <w:pPr>
      <w:ind w:left="420" w:leftChars="200"/>
    </w:pPr>
    <w:rPr>
      <w:rFonts w:ascii="Times New Roman" w:hAnsi="Times New Roman" w:eastAsia="宋体" w:cs="Times New Roman"/>
    </w:rPr>
  </w:style>
  <w:style w:type="paragraph" w:styleId="22">
    <w:name w:val="Date"/>
    <w:basedOn w:val="1"/>
    <w:next w:val="1"/>
    <w:autoRedefine/>
    <w:qFormat/>
    <w:uiPriority w:val="0"/>
    <w:pPr>
      <w:ind w:left="100" w:leftChars="2500"/>
    </w:pPr>
    <w:rPr>
      <w:rFonts w:ascii="Times New Roman" w:hAnsi="Times New Roman" w:eastAsia="宋体" w:cs="Times New Roman"/>
    </w:rPr>
  </w:style>
  <w:style w:type="paragraph" w:styleId="23">
    <w:name w:val="Body Text Indent 2"/>
    <w:basedOn w:val="1"/>
    <w:autoRedefine/>
    <w:qFormat/>
    <w:uiPriority w:val="0"/>
    <w:pPr>
      <w:spacing w:line="500" w:lineRule="exact"/>
      <w:ind w:firstLine="511" w:firstLineChars="213"/>
    </w:pPr>
    <w:rPr>
      <w:rFonts w:ascii="Times New Roman" w:hAnsi="Times New Roman" w:eastAsia="宋体" w:cs="Times New Roman"/>
      <w:sz w:val="24"/>
    </w:rPr>
  </w:style>
  <w:style w:type="paragraph" w:styleId="24">
    <w:name w:val="Balloon Text"/>
    <w:basedOn w:val="1"/>
    <w:qFormat/>
    <w:uiPriority w:val="0"/>
    <w:rPr>
      <w:rFonts w:ascii="Times New Roman" w:hAnsi="Times New Roman" w:eastAsia="宋体" w:cs="Times New Roman"/>
      <w:sz w:val="18"/>
      <w:szCs w:val="18"/>
    </w:rPr>
  </w:style>
  <w:style w:type="paragraph" w:styleId="25">
    <w:name w:val="footer"/>
    <w:basedOn w:val="1"/>
    <w:link w:val="52"/>
    <w:qFormat/>
    <w:uiPriority w:val="0"/>
    <w:pPr>
      <w:tabs>
        <w:tab w:val="center" w:pos="4153"/>
        <w:tab w:val="right" w:pos="8306"/>
      </w:tabs>
      <w:snapToGrid w:val="0"/>
      <w:jc w:val="left"/>
    </w:pPr>
    <w:rPr>
      <w:sz w:val="18"/>
      <w:szCs w:val="18"/>
    </w:rPr>
  </w:style>
  <w:style w:type="paragraph" w:styleId="26">
    <w:name w:val="envelope return"/>
    <w:basedOn w:val="1"/>
    <w:autoRedefine/>
    <w:qFormat/>
    <w:uiPriority w:val="0"/>
    <w:pPr>
      <w:snapToGrid w:val="0"/>
      <w:spacing w:line="360" w:lineRule="auto"/>
      <w:ind w:firstLine="200" w:firstLineChars="200"/>
    </w:pPr>
    <w:rPr>
      <w:rFonts w:ascii="Arial" w:hAnsi="Arial" w:eastAsia="等线" w:cs="等线"/>
      <w:spacing w:val="-10"/>
      <w:szCs w:val="20"/>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autoRedefine/>
    <w:qFormat/>
    <w:uiPriority w:val="39"/>
    <w:pPr>
      <w:tabs>
        <w:tab w:val="right" w:leader="dot" w:pos="9628"/>
      </w:tabs>
      <w:spacing w:line="480" w:lineRule="auto"/>
    </w:pPr>
    <w:rPr>
      <w:rFonts w:ascii="Arial" w:hAnsi="Arial" w:eastAsia="新宋体" w:cs="Arial"/>
      <w:bCs/>
      <w:sz w:val="24"/>
    </w:rPr>
  </w:style>
  <w:style w:type="paragraph" w:styleId="29">
    <w:name w:val="footnote text"/>
    <w:basedOn w:val="1"/>
    <w:qFormat/>
    <w:uiPriority w:val="0"/>
    <w:pPr>
      <w:widowControl/>
      <w:snapToGrid w:val="0"/>
      <w:spacing w:after="200" w:line="276" w:lineRule="auto"/>
      <w:jc w:val="left"/>
    </w:pPr>
    <w:rPr>
      <w:rFonts w:ascii="Cambria" w:hAnsi="Cambria"/>
      <w:kern w:val="0"/>
      <w:sz w:val="18"/>
      <w:szCs w:val="18"/>
    </w:rPr>
  </w:style>
  <w:style w:type="paragraph" w:styleId="30">
    <w:name w:val="toc 6"/>
    <w:basedOn w:val="1"/>
    <w:next w:val="1"/>
    <w:qFormat/>
    <w:uiPriority w:val="0"/>
    <w:pPr>
      <w:ind w:left="840"/>
      <w:jc w:val="left"/>
    </w:pPr>
    <w:rPr>
      <w:sz w:val="20"/>
    </w:rPr>
  </w:style>
  <w:style w:type="paragraph" w:styleId="31">
    <w:name w:val="Body Text Indent 3"/>
    <w:basedOn w:val="1"/>
    <w:autoRedefine/>
    <w:qFormat/>
    <w:uiPriority w:val="0"/>
    <w:pPr>
      <w:spacing w:line="500" w:lineRule="exact"/>
      <w:ind w:left="511" w:hanging="511" w:hangingChars="213"/>
    </w:pPr>
    <w:rPr>
      <w:rFonts w:ascii="Times New Roman" w:hAnsi="Times New Roman" w:eastAsia="宋体" w:cs="Times New Roman"/>
      <w:sz w:val="24"/>
    </w:rPr>
  </w:style>
  <w:style w:type="paragraph" w:styleId="3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3">
    <w:name w:val="annotation subject"/>
    <w:basedOn w:val="15"/>
    <w:next w:val="15"/>
    <w:autoRedefine/>
    <w:qFormat/>
    <w:uiPriority w:val="0"/>
    <w:rPr>
      <w:rFonts w:ascii="Times New Roman" w:hAnsi="Times New Roman" w:eastAsia="宋体" w:cs="Times New Roman"/>
      <w:b/>
      <w:bCs/>
    </w:rPr>
  </w:style>
  <w:style w:type="table" w:styleId="35">
    <w:name w:val="Table Grid"/>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rFonts w:ascii="Times New Roman" w:hAnsi="Times New Roman" w:eastAsia="宋体" w:cs="Times New Roman"/>
      <w:b/>
      <w:bCs/>
    </w:rPr>
  </w:style>
  <w:style w:type="character" w:styleId="38">
    <w:name w:val="page number"/>
    <w:qFormat/>
    <w:uiPriority w:val="0"/>
    <w:rPr>
      <w:rFonts w:ascii="Times New Roman" w:hAnsi="Times New Roman" w:eastAsia="宋体" w:cs="Times New Roman"/>
    </w:rPr>
  </w:style>
  <w:style w:type="character" w:styleId="39">
    <w:name w:val="Hyperlink"/>
    <w:qFormat/>
    <w:uiPriority w:val="99"/>
    <w:rPr>
      <w:rFonts w:ascii="Times New Roman" w:hAnsi="Times New Roman" w:eastAsia="宋体" w:cs="Times New Roman"/>
      <w:color w:val="000000"/>
      <w:sz w:val="20"/>
      <w:szCs w:val="20"/>
      <w:u w:val="none"/>
    </w:rPr>
  </w:style>
  <w:style w:type="character" w:styleId="40">
    <w:name w:val="annotation reference"/>
    <w:qFormat/>
    <w:uiPriority w:val="0"/>
    <w:rPr>
      <w:rFonts w:ascii="Times New Roman" w:hAnsi="Times New Roman" w:eastAsia="宋体" w:cs="Times New Roman"/>
      <w:sz w:val="21"/>
      <w:szCs w:val="21"/>
    </w:rPr>
  </w:style>
  <w:style w:type="character" w:styleId="41">
    <w:name w:val="footnote reference"/>
    <w:qFormat/>
    <w:uiPriority w:val="0"/>
    <w:rPr>
      <w:vertAlign w:val="superscript"/>
    </w:rPr>
  </w:style>
  <w:style w:type="character" w:customStyle="1" w:styleId="42">
    <w:name w:val="标题 1 字符"/>
    <w:link w:val="4"/>
    <w:qFormat/>
    <w:locked/>
    <w:uiPriority w:val="0"/>
    <w:rPr>
      <w:rFonts w:ascii="楷体_GB2312" w:eastAsia="楷体_GB2312"/>
      <w:b/>
      <w:bCs/>
      <w:kern w:val="2"/>
      <w:sz w:val="21"/>
      <w:szCs w:val="24"/>
    </w:rPr>
  </w:style>
  <w:style w:type="character" w:customStyle="1" w:styleId="43">
    <w:name w:val="标题 2 字符"/>
    <w:link w:val="5"/>
    <w:qFormat/>
    <w:uiPriority w:val="0"/>
    <w:rPr>
      <w:rFonts w:ascii="Arial" w:hAnsi="Arial" w:eastAsia="黑体" w:cs="Times New Roman"/>
      <w:b/>
      <w:bCs/>
      <w:sz w:val="32"/>
      <w:szCs w:val="32"/>
    </w:rPr>
  </w:style>
  <w:style w:type="character" w:customStyle="1" w:styleId="44">
    <w:name w:val="标题 3 字符"/>
    <w:link w:val="6"/>
    <w:qFormat/>
    <w:uiPriority w:val="0"/>
    <w:rPr>
      <w:rFonts w:ascii="Times New Roman" w:hAnsi="Times New Roman" w:eastAsia="宋体" w:cs="Times New Roman"/>
      <w:b/>
      <w:bCs/>
      <w:kern w:val="2"/>
      <w:sz w:val="32"/>
      <w:szCs w:val="32"/>
      <w:lang w:bidi="ar-SA"/>
    </w:rPr>
  </w:style>
  <w:style w:type="character" w:customStyle="1" w:styleId="45">
    <w:name w:val="标题 4 字符"/>
    <w:link w:val="7"/>
    <w:qFormat/>
    <w:uiPriority w:val="0"/>
    <w:rPr>
      <w:rFonts w:ascii="Cambria" w:hAnsi="Cambria" w:eastAsia="宋体" w:cs="Times New Roman"/>
      <w:b/>
      <w:bCs/>
      <w:kern w:val="2"/>
      <w:sz w:val="28"/>
      <w:szCs w:val="28"/>
      <w:lang w:bidi="ar-SA"/>
    </w:rPr>
  </w:style>
  <w:style w:type="character" w:customStyle="1" w:styleId="46">
    <w:name w:val="标题 5 字符"/>
    <w:link w:val="8"/>
    <w:autoRedefine/>
    <w:qFormat/>
    <w:uiPriority w:val="0"/>
    <w:rPr>
      <w:rFonts w:ascii="Times New Roman" w:hAnsi="Times New Roman" w:eastAsia="宋体" w:cs="Times New Roman"/>
      <w:b/>
      <w:bCs/>
      <w:kern w:val="2"/>
      <w:sz w:val="28"/>
      <w:szCs w:val="28"/>
      <w:lang w:val="zh-CN"/>
    </w:rPr>
  </w:style>
  <w:style w:type="character" w:customStyle="1" w:styleId="47">
    <w:name w:val="正文缩进 字符1"/>
    <w:link w:val="10"/>
    <w:qFormat/>
    <w:uiPriority w:val="0"/>
    <w:rPr>
      <w:rFonts w:ascii="Times New Roman" w:hAnsi="Times New Roman" w:eastAsia="宋体" w:cs="Times New Roman"/>
      <w:sz w:val="21"/>
      <w:lang w:val="en-US" w:eastAsia="zh-CN" w:bidi="ar-SA"/>
    </w:rPr>
  </w:style>
  <w:style w:type="character" w:customStyle="1" w:styleId="48">
    <w:name w:val="样式 正文缩进 + 首行缩进:  2 字符 Char"/>
    <w:link w:val="9"/>
    <w:qFormat/>
    <w:uiPriority w:val="0"/>
    <w:rPr>
      <w:kern w:val="2"/>
      <w:sz w:val="24"/>
      <w:lang w:val="zh-CN"/>
    </w:rPr>
  </w:style>
  <w:style w:type="character" w:customStyle="1" w:styleId="49">
    <w:name w:val="正文文本 字符"/>
    <w:link w:val="16"/>
    <w:qFormat/>
    <w:uiPriority w:val="0"/>
    <w:rPr>
      <w:rFonts w:ascii="Times New Roman" w:hAnsi="Times New Roman" w:eastAsia="宋体" w:cs="Times New Roman"/>
      <w:kern w:val="2"/>
      <w:sz w:val="21"/>
      <w:szCs w:val="24"/>
    </w:rPr>
  </w:style>
  <w:style w:type="character" w:customStyle="1" w:styleId="50">
    <w:name w:val="正文首行缩进 字符"/>
    <w:link w:val="17"/>
    <w:qFormat/>
    <w:uiPriority w:val="0"/>
    <w:rPr>
      <w:rFonts w:ascii="Times New Roman" w:hAnsi="Times New Roman" w:eastAsia="宋体" w:cs="Times New Roman"/>
      <w:kern w:val="2"/>
      <w:sz w:val="21"/>
      <w:szCs w:val="24"/>
    </w:rPr>
  </w:style>
  <w:style w:type="character" w:customStyle="1" w:styleId="51">
    <w:name w:val="纯文本 字符"/>
    <w:link w:val="20"/>
    <w:qFormat/>
    <w:uiPriority w:val="0"/>
    <w:rPr>
      <w:rFonts w:ascii="宋体" w:hAnsi="Courier New" w:eastAsia="宋体" w:cs="Times New Roman"/>
      <w:sz w:val="21"/>
      <w:szCs w:val="21"/>
      <w:lang w:val="en-US" w:eastAsia="zh-CN" w:bidi="ar-SA"/>
    </w:rPr>
  </w:style>
  <w:style w:type="character" w:customStyle="1" w:styleId="52">
    <w:name w:val="页脚 字符"/>
    <w:link w:val="25"/>
    <w:qFormat/>
    <w:uiPriority w:val="0"/>
    <w:rPr>
      <w:rFonts w:ascii="Times New Roman" w:hAnsi="Times New Roman" w:eastAsia="宋体" w:cs="Times New Roman"/>
      <w:kern w:val="2"/>
      <w:sz w:val="18"/>
      <w:szCs w:val="18"/>
    </w:rPr>
  </w:style>
  <w:style w:type="paragraph" w:customStyle="1" w:styleId="53">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54">
    <w:name w:val="Char Char Char"/>
    <w:qFormat/>
    <w:uiPriority w:val="0"/>
    <w:rPr>
      <w:rFonts w:ascii="宋体" w:hAnsi="Courier New" w:eastAsia="宋体" w:cs="Times New Roman"/>
      <w:sz w:val="21"/>
      <w:szCs w:val="21"/>
      <w:lang w:val="en-US" w:eastAsia="zh-CN" w:bidi="ar-SA"/>
    </w:rPr>
  </w:style>
  <w:style w:type="character" w:customStyle="1" w:styleId="55">
    <w:name w:val="Texte Char Char"/>
    <w:qFormat/>
    <w:uiPriority w:val="0"/>
    <w:rPr>
      <w:rFonts w:ascii="宋体" w:hAnsi="Courier New" w:eastAsia="宋体" w:cs="Times New Roman"/>
      <w:sz w:val="21"/>
      <w:szCs w:val="21"/>
      <w:lang w:val="en-US" w:eastAsia="zh-CN" w:bidi="ar-SA"/>
    </w:rPr>
  </w:style>
  <w:style w:type="character" w:customStyle="1" w:styleId="56">
    <w:name w:val="unnamed51"/>
    <w:qFormat/>
    <w:uiPriority w:val="0"/>
    <w:rPr>
      <w:rFonts w:ascii="Times New Roman" w:hAnsi="Times New Roman" w:eastAsia="宋体" w:cs="Times New Roman"/>
      <w:sz w:val="22"/>
      <w:szCs w:val="22"/>
    </w:rPr>
  </w:style>
  <w:style w:type="character" w:customStyle="1" w:styleId="57">
    <w:name w:val="正文文本 Char2"/>
    <w:qFormat/>
    <w:uiPriority w:val="0"/>
    <w:rPr>
      <w:kern w:val="2"/>
      <w:sz w:val="21"/>
      <w:szCs w:val="24"/>
    </w:rPr>
  </w:style>
  <w:style w:type="character" w:customStyle="1" w:styleId="58">
    <w:name w:val="style21"/>
    <w:autoRedefine/>
    <w:qFormat/>
    <w:uiPriority w:val="0"/>
    <w:rPr>
      <w:rFonts w:ascii="Times New Roman" w:hAnsi="Times New Roman" w:eastAsia="宋体" w:cs="Times New Roman"/>
      <w:sz w:val="15"/>
      <w:szCs w:val="15"/>
    </w:rPr>
  </w:style>
  <w:style w:type="character" w:customStyle="1" w:styleId="59">
    <w:name w:val="font11"/>
    <w:qFormat/>
    <w:uiPriority w:val="0"/>
    <w:rPr>
      <w:rFonts w:hint="eastAsia" w:ascii="宋体" w:hAnsi="宋体" w:eastAsia="宋体" w:cs="宋体"/>
      <w:color w:val="000000"/>
      <w:sz w:val="20"/>
      <w:szCs w:val="20"/>
      <w:u w:val="none"/>
    </w:rPr>
  </w:style>
  <w:style w:type="character" w:customStyle="1" w:styleId="60">
    <w:name w:val="font61"/>
    <w:qFormat/>
    <w:uiPriority w:val="0"/>
    <w:rPr>
      <w:rFonts w:hint="eastAsia" w:ascii="微软雅黑" w:hAnsi="微软雅黑" w:eastAsia="微软雅黑" w:cs="微软雅黑"/>
      <w:color w:val="000000"/>
      <w:sz w:val="12"/>
      <w:szCs w:val="12"/>
      <w:u w:val="none"/>
    </w:rPr>
  </w:style>
  <w:style w:type="character" w:customStyle="1" w:styleId="61">
    <w:name w:val="正文缩进 字符"/>
    <w:qFormat/>
    <w:uiPriority w:val="99"/>
    <w:rPr>
      <w:rFonts w:ascii="Times New Roman" w:hAnsi="Times New Roman" w:eastAsia="仿宋" w:cs="Times New Roman"/>
      <w:sz w:val="28"/>
    </w:rPr>
  </w:style>
  <w:style w:type="character" w:customStyle="1" w:styleId="62">
    <w:name w:val="Char Char2"/>
    <w:qFormat/>
    <w:uiPriority w:val="0"/>
    <w:rPr>
      <w:rFonts w:ascii="宋体" w:hAnsi="Courier New" w:eastAsia="宋体" w:cs="Times New Roman"/>
      <w:kern w:val="2"/>
      <w:sz w:val="21"/>
      <w:lang w:val="en-US" w:eastAsia="zh-CN"/>
    </w:rPr>
  </w:style>
  <w:style w:type="character" w:customStyle="1" w:styleId="63">
    <w:name w:val="列表段落 字符"/>
    <w:qFormat/>
    <w:locked/>
    <w:uiPriority w:val="34"/>
  </w:style>
  <w:style w:type="character" w:customStyle="1" w:styleId="64">
    <w:name w:val="样式6 列表并列 Char"/>
    <w:link w:val="65"/>
    <w:qFormat/>
    <w:uiPriority w:val="0"/>
    <w:rPr>
      <w:rFonts w:ascii="Arial" w:hAnsi="Arial"/>
      <w:kern w:val="21"/>
      <w:sz w:val="21"/>
      <w:szCs w:val="24"/>
      <w:lang w:val="en-US" w:eastAsia="zh-CN" w:bidi="ar-SA"/>
    </w:rPr>
  </w:style>
  <w:style w:type="paragraph" w:customStyle="1" w:styleId="65">
    <w:name w:val="样式6 列表并列"/>
    <w:link w:val="64"/>
    <w:autoRedefine/>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character" w:customStyle="1" w:styleId="66">
    <w:name w:val="font21"/>
    <w:qFormat/>
    <w:uiPriority w:val="0"/>
    <w:rPr>
      <w:rFonts w:hint="eastAsia" w:ascii="微软雅黑" w:hAnsi="微软雅黑" w:eastAsia="微软雅黑" w:cs="微软雅黑"/>
      <w:color w:val="000000"/>
      <w:sz w:val="18"/>
      <w:szCs w:val="18"/>
      <w:u w:val="none"/>
    </w:rPr>
  </w:style>
  <w:style w:type="character" w:customStyle="1" w:styleId="67">
    <w:name w:val="列出段落 字符"/>
    <w:link w:val="68"/>
    <w:qFormat/>
    <w:uiPriority w:val="0"/>
    <w:rPr>
      <w:rFonts w:ascii="Times New Roman" w:hAnsi="Times New Roman" w:eastAsia="宋体" w:cs="Times New Roman"/>
      <w:kern w:val="2"/>
      <w:sz w:val="21"/>
      <w:szCs w:val="24"/>
    </w:rPr>
  </w:style>
  <w:style w:type="paragraph" w:styleId="68">
    <w:name w:val="List Paragraph"/>
    <w:basedOn w:val="1"/>
    <w:link w:val="67"/>
    <w:autoRedefine/>
    <w:qFormat/>
    <w:uiPriority w:val="0"/>
    <w:pPr>
      <w:ind w:firstLine="420" w:firstLineChars="200"/>
    </w:pPr>
  </w:style>
  <w:style w:type="character" w:customStyle="1" w:styleId="69">
    <w:name w:val="纯文本 Char2"/>
    <w:autoRedefine/>
    <w:qFormat/>
    <w:uiPriority w:val="0"/>
    <w:rPr>
      <w:rFonts w:ascii="宋体,Verdana,Arial" w:hAnsi="Tahoma" w:eastAsia="宋体,Verdana,Arial" w:cs="Times New Roman"/>
      <w:sz w:val="21"/>
      <w:szCs w:val="21"/>
      <w:lang w:val="en-US" w:eastAsia="zh-CN" w:bidi="ar-SA"/>
    </w:rPr>
  </w:style>
  <w:style w:type="character" w:customStyle="1" w:styleId="70">
    <w:name w:val="List Paragraph Char"/>
    <w:link w:val="71"/>
    <w:qFormat/>
    <w:uiPriority w:val="0"/>
    <w:rPr>
      <w:rFonts w:ascii="Calibri" w:hAnsi="Calibri" w:eastAsia="宋体" w:cs="Times New Roman"/>
      <w:kern w:val="2"/>
      <w:sz w:val="21"/>
      <w:szCs w:val="22"/>
      <w:lang w:val="en-US" w:eastAsia="zh-CN" w:bidi="ar-SA"/>
    </w:rPr>
  </w:style>
  <w:style w:type="paragraph" w:customStyle="1" w:styleId="71">
    <w:name w:val="List Paragraph1"/>
    <w:basedOn w:val="1"/>
    <w:link w:val="70"/>
    <w:autoRedefine/>
    <w:qFormat/>
    <w:uiPriority w:val="0"/>
    <w:pPr>
      <w:ind w:firstLine="420" w:firstLineChars="200"/>
    </w:pPr>
    <w:rPr>
      <w:rFonts w:ascii="Calibri" w:hAnsi="Calibri"/>
      <w:szCs w:val="22"/>
    </w:rPr>
  </w:style>
  <w:style w:type="character" w:customStyle="1" w:styleId="72">
    <w:name w:val="文档正文 Char"/>
    <w:link w:val="73"/>
    <w:autoRedefine/>
    <w:qFormat/>
    <w:uiPriority w:val="0"/>
    <w:rPr>
      <w:rFonts w:ascii="Tahoma" w:hAnsi="Tahoma" w:eastAsia="仿宋_GB2312" w:cs="Times New Roman"/>
      <w:sz w:val="28"/>
      <w:lang w:val="en-US" w:eastAsia="zh-CN" w:bidi="ar-SA"/>
    </w:rPr>
  </w:style>
  <w:style w:type="paragraph" w:customStyle="1" w:styleId="73">
    <w:name w:val="文档正文"/>
    <w:basedOn w:val="1"/>
    <w:link w:val="72"/>
    <w:autoRedefine/>
    <w:qFormat/>
    <w:uiPriority w:val="0"/>
    <w:pPr>
      <w:spacing w:line="360" w:lineRule="auto"/>
      <w:ind w:firstLine="480" w:firstLineChars="200"/>
    </w:pPr>
    <w:rPr>
      <w:rFonts w:ascii="Tahoma" w:hAnsi="Tahoma" w:eastAsia="仿宋_GB2312"/>
      <w:kern w:val="0"/>
      <w:sz w:val="28"/>
      <w:szCs w:val="20"/>
    </w:rPr>
  </w:style>
  <w:style w:type="character" w:customStyle="1" w:styleId="74">
    <w:name w:val="哈哈正文 Char"/>
    <w:link w:val="75"/>
    <w:autoRedefine/>
    <w:qFormat/>
    <w:uiPriority w:val="0"/>
    <w:rPr>
      <w:rFonts w:ascii="宋体" w:hAnsi="宋体" w:eastAsia="宋体" w:cs="宋体"/>
      <w:kern w:val="2"/>
      <w:sz w:val="24"/>
      <w:lang w:val="en-US" w:eastAsia="zh-CN" w:bidi="ar-SA"/>
    </w:rPr>
  </w:style>
  <w:style w:type="paragraph" w:customStyle="1" w:styleId="75">
    <w:name w:val="哈哈正文"/>
    <w:basedOn w:val="1"/>
    <w:link w:val="74"/>
    <w:qFormat/>
    <w:uiPriority w:val="0"/>
    <w:pPr>
      <w:spacing w:line="360" w:lineRule="auto"/>
      <w:ind w:firstLine="200" w:firstLineChars="200"/>
    </w:pPr>
    <w:rPr>
      <w:rFonts w:ascii="宋体" w:hAnsi="宋体" w:cs="宋体"/>
      <w:sz w:val="24"/>
      <w:szCs w:val="20"/>
    </w:rPr>
  </w:style>
  <w:style w:type="character" w:customStyle="1" w:styleId="76">
    <w:name w:val="font51"/>
    <w:qFormat/>
    <w:uiPriority w:val="0"/>
    <w:rPr>
      <w:rFonts w:hint="eastAsia" w:ascii="宋体" w:hAnsi="宋体" w:eastAsia="宋体" w:cs="宋体"/>
      <w:b/>
      <w:bCs/>
      <w:color w:val="000000"/>
      <w:sz w:val="20"/>
      <w:szCs w:val="20"/>
      <w:u w:val="none"/>
    </w:rPr>
  </w:style>
  <w:style w:type="paragraph" w:customStyle="1" w:styleId="77">
    <w:name w:val="正文－恩普"/>
    <w:basedOn w:val="10"/>
    <w:autoRedefine/>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78">
    <w:name w:val="Level 2"/>
    <w:basedOn w:val="1"/>
    <w:qFormat/>
    <w:uiPriority w:val="0"/>
    <w:pPr>
      <w:widowControl/>
      <w:numPr>
        <w:ilvl w:val="1"/>
        <w:numId w:val="2"/>
      </w:numPr>
      <w:spacing w:after="140" w:line="290" w:lineRule="auto"/>
    </w:pPr>
    <w:rPr>
      <w:rFonts w:ascii="Arial" w:hAnsi="Arial"/>
      <w:kern w:val="20"/>
      <w:sz w:val="20"/>
      <w:szCs w:val="28"/>
      <w:lang w:val="en-GB" w:eastAsia="en-US"/>
    </w:rPr>
  </w:style>
  <w:style w:type="paragraph" w:customStyle="1" w:styleId="79">
    <w:name w:val="正文2"/>
    <w:basedOn w:val="1"/>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0">
    <w:name w:val="正文5"/>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1">
    <w:name w:val="样式 首行缩进:  2 字符5"/>
    <w:basedOn w:val="1"/>
    <w:qFormat/>
    <w:uiPriority w:val="0"/>
    <w:pPr>
      <w:ind w:firstLine="480"/>
    </w:pPr>
    <w:rPr>
      <w:rFonts w:ascii="Times New Roman" w:hAnsi="Times New Roman" w:cs="宋体"/>
      <w:szCs w:val="20"/>
    </w:rPr>
  </w:style>
  <w:style w:type="paragraph" w:customStyle="1" w:styleId="82">
    <w:name w:val="投标文件 正文首行缩进"/>
    <w:basedOn w:val="2"/>
    <w:autoRedefine/>
    <w:qFormat/>
    <w:uiPriority w:val="0"/>
    <w:pPr>
      <w:spacing w:after="220"/>
      <w:ind w:left="0" w:leftChars="0" w:firstLine="200" w:firstLineChars="0"/>
    </w:pPr>
    <w:rPr>
      <w:rFonts w:ascii="Arial" w:hAnsi="Arial"/>
      <w:szCs w:val="24"/>
    </w:rPr>
  </w:style>
  <w:style w:type="paragraph" w:customStyle="1" w:styleId="8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rPr>
  </w:style>
  <w:style w:type="paragraph" w:customStyle="1" w:styleId="84">
    <w:name w:val=" Char Char1 Char Char 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07-E3-标题三"/>
    <w:basedOn w:val="6"/>
    <w:autoRedefine/>
    <w:qFormat/>
    <w:uiPriority w:val="0"/>
    <w:pPr>
      <w:ind w:left="720" w:hanging="720"/>
    </w:pPr>
    <w:rPr>
      <w:rFonts w:ascii="Times New Roman" w:hAnsi="Times New Roman" w:eastAsia="黑体"/>
      <w:b w:val="0"/>
      <w:sz w:val="24"/>
      <w:szCs w:val="24"/>
    </w:rPr>
  </w:style>
  <w:style w:type="paragraph" w:customStyle="1" w:styleId="86">
    <w:name w:val="Table Paragraph"/>
    <w:basedOn w:val="1"/>
    <w:qFormat/>
    <w:uiPriority w:val="1"/>
    <w:rPr>
      <w:rFonts w:ascii="宋体" w:hAnsi="宋体" w:eastAsia="宋体" w:cs="宋体"/>
      <w:lang w:val="zh-CN" w:eastAsia="zh-CN" w:bidi="zh-CN"/>
    </w:rPr>
  </w:style>
  <w:style w:type="paragraph" w:customStyle="1" w:styleId="8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Char Char Char Char Char Char Char Char Char Char Char Char Char1"/>
    <w:basedOn w:val="1"/>
    <w:qFormat/>
    <w:uiPriority w:val="0"/>
    <w:rPr>
      <w:rFonts w:ascii="Tahoma" w:hAnsi="Tahoma" w:eastAsia="宋体" w:cs="Times New Roman"/>
      <w:sz w:val="24"/>
      <w:szCs w:val="20"/>
    </w:rPr>
  </w:style>
  <w:style w:type="paragraph" w:customStyle="1" w:styleId="89">
    <w:name w:val="[Normal]"/>
    <w:autoRedefine/>
    <w:qFormat/>
    <w:uiPriority w:val="0"/>
    <w:rPr>
      <w:rFonts w:ascii="宋体" w:hAnsi="宋体" w:eastAsia="宋体" w:cs="Times New Roman"/>
      <w:sz w:val="24"/>
      <w:szCs w:val="22"/>
      <w:lang w:val="zh-CN" w:eastAsia="zh-CN" w:bidi="ar-SA"/>
    </w:rPr>
  </w:style>
  <w:style w:type="paragraph" w:customStyle="1" w:styleId="90">
    <w:name w:val="彩色列表 - 强调文字颜色 11"/>
    <w:basedOn w:val="1"/>
    <w:autoRedefine/>
    <w:qFormat/>
    <w:uiPriority w:val="34"/>
    <w:pPr>
      <w:ind w:firstLine="420"/>
    </w:pPr>
    <w:rPr>
      <w:rFonts w:ascii="Times New Roman" w:hAnsi="Times New Roman"/>
      <w:szCs w:val="24"/>
    </w:rPr>
  </w:style>
  <w:style w:type="paragraph" w:customStyle="1" w:styleId="91">
    <w:name w:val="纯文本2"/>
    <w:basedOn w:val="80"/>
    <w:autoRedefine/>
    <w:qFormat/>
    <w:uiPriority w:val="0"/>
    <w:pPr>
      <w:widowControl/>
      <w:jc w:val="left"/>
    </w:pPr>
    <w:rPr>
      <w:rFonts w:ascii="宋体" w:hAnsi="Courier New"/>
    </w:rPr>
  </w:style>
  <w:style w:type="paragraph" w:customStyle="1" w:styleId="92">
    <w:name w:val="Default"/>
    <w:next w:val="93"/>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9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 Char Char Char Char Char Char Char"/>
    <w:basedOn w:val="1"/>
    <w:qFormat/>
    <w:uiPriority w:val="0"/>
    <w:rPr>
      <w:rFonts w:ascii="仿宋_GB2312" w:hAnsi="Times New Roman" w:eastAsia="仿宋_GB2312" w:cs="Times New Roman"/>
      <w:b/>
      <w:sz w:val="32"/>
      <w:szCs w:val="32"/>
    </w:rPr>
  </w:style>
  <w:style w:type="paragraph" w:customStyle="1" w:styleId="95">
    <w:name w:val="标题2.1"/>
    <w:basedOn w:val="5"/>
    <w:next w:val="16"/>
    <w:autoRedefine/>
    <w:qFormat/>
    <w:uiPriority w:val="0"/>
    <w:pPr>
      <w:widowControl/>
      <w:adjustRightInd w:val="0"/>
      <w:snapToGrid w:val="0"/>
      <w:spacing w:before="0" w:after="0" w:line="360" w:lineRule="auto"/>
      <w:jc w:val="left"/>
    </w:pPr>
    <w:rPr>
      <w:rFonts w:ascii="宋体" w:hAnsi="宋体" w:eastAsia="宋体" w:cs="宋体"/>
      <w:bCs w:val="0"/>
      <w:kern w:val="0"/>
      <w:szCs w:val="20"/>
    </w:rPr>
  </w:style>
  <w:style w:type="paragraph" w:customStyle="1" w:styleId="96">
    <w:name w:val="简单回函地址"/>
    <w:basedOn w:val="1"/>
    <w:autoRedefine/>
    <w:qFormat/>
    <w:uiPriority w:val="0"/>
    <w:rPr>
      <w:rFonts w:ascii="Times New Roman" w:hAnsi="Times New Roman" w:eastAsia="宋体" w:cs="Times New Roman"/>
    </w:rPr>
  </w:style>
  <w:style w:type="paragraph" w:customStyle="1" w:styleId="97">
    <w:name w:val="正文标准样式ty"/>
    <w:basedOn w:val="1"/>
    <w:autoRedefine/>
    <w:qFormat/>
    <w:uiPriority w:val="0"/>
    <w:pPr>
      <w:ind w:firstLine="480"/>
    </w:pPr>
    <w:rPr>
      <w:rFonts w:ascii="Times New Roman" w:hAnsi="Times New Roman" w:cs="宋体"/>
      <w:szCs w:val="20"/>
    </w:rPr>
  </w:style>
  <w:style w:type="paragraph" w:customStyle="1" w:styleId="98">
    <w:name w:val=" Char1"/>
    <w:basedOn w:val="1"/>
    <w:autoRedefine/>
    <w:qFormat/>
    <w:uiPriority w:val="0"/>
    <w:pPr>
      <w:widowControl/>
      <w:adjustRightInd w:val="0"/>
      <w:snapToGrid w:val="0"/>
      <w:spacing w:before="78" w:beforeLines="25" w:after="78" w:afterLines="25" w:line="240" w:lineRule="exact"/>
      <w:ind w:firstLine="403" w:firstLineChars="192"/>
      <w:jc w:val="center"/>
    </w:pPr>
    <w:rPr>
      <w:rFonts w:ascii="宋体" w:hAnsi="宋体"/>
      <w:kern w:val="0"/>
      <w:szCs w:val="21"/>
    </w:rPr>
  </w:style>
  <w:style w:type="paragraph" w:customStyle="1" w:styleId="99">
    <w:name w:val="标准文本"/>
    <w:basedOn w:val="1"/>
    <w:autoRedefine/>
    <w:qFormat/>
    <w:uiPriority w:val="0"/>
    <w:pPr>
      <w:ind w:firstLine="480"/>
    </w:pPr>
    <w:rPr>
      <w:rFonts w:ascii="Calibri" w:hAnsi="Calibri" w:cs="宋体"/>
      <w:kern w:val="0"/>
    </w:rPr>
  </w:style>
  <w:style w:type="paragraph" w:customStyle="1" w:styleId="100">
    <w:name w:val="列出段落1"/>
    <w:basedOn w:val="1"/>
    <w:autoRedefine/>
    <w:qFormat/>
    <w:uiPriority w:val="34"/>
    <w:pPr>
      <w:ind w:firstLine="420"/>
    </w:pPr>
    <w:rPr>
      <w:rFonts w:ascii="Times New Roman" w:hAnsi="Times New Roman"/>
      <w:szCs w:val="24"/>
    </w:rPr>
  </w:style>
  <w:style w:type="paragraph" w:customStyle="1" w:styleId="101">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 Char"/>
    <w:basedOn w:val="1"/>
    <w:qFormat/>
    <w:uiPriority w:val="0"/>
    <w:rPr>
      <w:rFonts w:ascii="仿宋_GB2312" w:hAnsi="Times New Roman" w:eastAsia="仿宋_GB2312" w:cs="Times New Roman"/>
      <w:b/>
      <w:sz w:val="32"/>
      <w:szCs w:val="32"/>
    </w:rPr>
  </w:style>
  <w:style w:type="paragraph" w:customStyle="1" w:styleId="103">
    <w:name w:val="Char1 Char Char Char"/>
    <w:basedOn w:val="1"/>
    <w:qFormat/>
    <w:uiPriority w:val="0"/>
    <w:rPr>
      <w:rFonts w:ascii="Tahoma" w:hAnsi="Tahoma" w:eastAsia="宋体" w:cs="Times New Roman"/>
      <w:sz w:val="24"/>
      <w:szCs w:val="20"/>
    </w:rPr>
  </w:style>
  <w:style w:type="paragraph" w:customStyle="1" w:styleId="104">
    <w:name w:val="fs-4"/>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05">
    <w:name w:val="样式 Arial 小四 首行缩进:  0.85 厘米"/>
    <w:basedOn w:val="1"/>
    <w:autoRedefine/>
    <w:qFormat/>
    <w:uiPriority w:val="0"/>
    <w:pPr>
      <w:spacing w:line="360" w:lineRule="auto"/>
      <w:ind w:firstLine="482"/>
    </w:pPr>
    <w:rPr>
      <w:rFonts w:ascii="Arial" w:hAnsi="Arial" w:eastAsia="宋体" w:cs="宋体"/>
      <w:sz w:val="24"/>
      <w:szCs w:val="20"/>
    </w:rPr>
  </w:style>
  <w:style w:type="paragraph" w:customStyle="1" w:styleId="106">
    <w:name w:val="_Style 105"/>
    <w:qFormat/>
    <w:uiPriority w:val="0"/>
    <w:rPr>
      <w:rFonts w:ascii="Times New Roman" w:hAnsi="Times New Roman" w:eastAsia="宋体" w:cs="Times New Roman"/>
      <w:kern w:val="2"/>
      <w:sz w:val="21"/>
      <w:szCs w:val="24"/>
      <w:lang w:val="en-US" w:eastAsia="zh-CN" w:bidi="ar-SA"/>
    </w:rPr>
  </w:style>
  <w:style w:type="paragraph" w:customStyle="1" w:styleId="107">
    <w:name w:val="保留正文"/>
    <w:basedOn w:val="16"/>
    <w:qFormat/>
    <w:uiPriority w:val="0"/>
    <w:pPr>
      <w:keepNext/>
      <w:spacing w:after="160"/>
    </w:pPr>
    <w:rPr>
      <w:rFonts w:ascii="Times New Roman" w:hAnsi="Times New Roman" w:eastAsia="宋体" w:cs="Times New Roman"/>
    </w:rPr>
  </w:style>
  <w:style w:type="paragraph" w:customStyle="1" w:styleId="108">
    <w:name w:val="表格文字"/>
    <w:basedOn w:val="20"/>
    <w:next w:val="16"/>
    <w:autoRedefine/>
    <w:qFormat/>
    <w:uiPriority w:val="99"/>
    <w:pPr>
      <w:adjustRightInd w:val="0"/>
      <w:spacing w:line="420" w:lineRule="atLeast"/>
      <w:jc w:val="left"/>
      <w:textAlignment w:val="baseline"/>
    </w:pPr>
    <w:rPr>
      <w:rFonts w:ascii="Times New Roman" w:hAnsi="Times New Roman"/>
      <w:szCs w:val="24"/>
    </w:rPr>
  </w:style>
  <w:style w:type="paragraph" w:customStyle="1" w:styleId="109">
    <w:name w:val="样式 正文首行缩进 2 + 首行缩进:  2 字符"/>
    <w:basedOn w:val="1"/>
    <w:qFormat/>
    <w:uiPriority w:val="0"/>
    <w:pPr>
      <w:widowControl/>
      <w:adjustRightInd/>
      <w:snapToGrid/>
      <w:ind w:firstLine="480"/>
      <w:jc w:val="left"/>
    </w:pPr>
    <w:rPr>
      <w:rFonts w:ascii="Calibri" w:hAnsi="Calibri" w:eastAsia="宋体"/>
      <w:sz w:val="24"/>
      <w:szCs w:val="21"/>
    </w:rPr>
  </w:style>
  <w:style w:type="paragraph" w:customStyle="1" w:styleId="110">
    <w:name w:val="Char Char Char Char"/>
    <w:basedOn w:val="14"/>
    <w:qFormat/>
    <w:uiPriority w:val="0"/>
    <w:rPr>
      <w:rFonts w:ascii="Tahoma" w:hAnsi="Tahoma" w:eastAsia="宋体" w:cs="Times New Roman"/>
      <w:sz w:val="24"/>
    </w:rPr>
  </w:style>
  <w:style w:type="paragraph" w:customStyle="1" w:styleId="111">
    <w:name w:val="Char Char1 Char Char Char Char Char Char"/>
    <w:basedOn w:val="1"/>
    <w:autoRedefine/>
    <w:qFormat/>
    <w:uiPriority w:val="0"/>
    <w:pPr>
      <w:widowControl/>
      <w:spacing w:after="160" w:line="240" w:lineRule="exact"/>
      <w:jc w:val="left"/>
    </w:pPr>
    <w:rPr>
      <w:rFonts w:ascii="宋体" w:hAnsi="宋体" w:eastAsia="宋体" w:cs="宋体"/>
      <w:kern w:val="0"/>
      <w:szCs w:val="20"/>
    </w:rPr>
  </w:style>
  <w:style w:type="paragraph" w:customStyle="1" w:styleId="112">
    <w:name w:val="p0"/>
    <w:basedOn w:val="1"/>
    <w:autoRedefine/>
    <w:qFormat/>
    <w:uiPriority w:val="0"/>
    <w:pPr>
      <w:widowControl/>
    </w:pPr>
    <w:rPr>
      <w:rFonts w:cs="宋体"/>
      <w:kern w:val="0"/>
      <w:szCs w:val="21"/>
    </w:rPr>
  </w:style>
  <w:style w:type="paragraph" w:customStyle="1" w:styleId="113">
    <w:name w:val="Char Char Char Char Char Char Char Char Char Char Char Char Char"/>
    <w:basedOn w:val="1"/>
    <w:autoRedefine/>
    <w:qFormat/>
    <w:uiPriority w:val="0"/>
    <w:rPr>
      <w:rFonts w:ascii="Tahoma" w:hAnsi="Tahoma" w:eastAsia="宋体" w:cs="Times New Roman"/>
      <w:sz w:val="24"/>
      <w:szCs w:val="20"/>
    </w:rPr>
  </w:style>
  <w:style w:type="paragraph" w:customStyle="1" w:styleId="114">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rPr>
  </w:style>
  <w:style w:type="paragraph" w:customStyle="1" w:styleId="115">
    <w:name w:val="正文1"/>
    <w:basedOn w:val="1"/>
    <w:autoRedefine/>
    <w:qFormat/>
    <w:uiPriority w:val="0"/>
    <w:pPr>
      <w:adjustRightInd w:val="0"/>
      <w:spacing w:after="60" w:line="360" w:lineRule="atLeast"/>
      <w:ind w:firstLine="567"/>
      <w:jc w:val="left"/>
      <w:textAlignment w:val="baseline"/>
    </w:pPr>
    <w:rPr>
      <w:rFonts w:ascii="宋体" w:hAnsi="Times New Roman" w:eastAsia="宋体" w:cs="Times New Roman"/>
      <w:kern w:val="0"/>
      <w:sz w:val="28"/>
      <w:szCs w:val="20"/>
    </w:rPr>
  </w:style>
  <w:style w:type="paragraph" w:customStyle="1" w:styleId="116">
    <w:name w:val="正文标准样式ty Char"/>
    <w:basedOn w:val="1"/>
    <w:autoRedefine/>
    <w:qFormat/>
    <w:uiPriority w:val="0"/>
    <w:pPr>
      <w:ind w:firstLine="480"/>
    </w:pPr>
    <w:rPr>
      <w:rFonts w:ascii="Times New Roman" w:hAnsi="Times New Roman" w:cs="宋体"/>
      <w:szCs w:val="20"/>
    </w:rPr>
  </w:style>
  <w:style w:type="paragraph" w:customStyle="1" w:styleId="117">
    <w:name w:val=" Char Char7 Char"/>
    <w:basedOn w:val="1"/>
    <w:qFormat/>
    <w:uiPriority w:val="0"/>
    <w:pPr>
      <w:tabs>
        <w:tab w:val="left" w:pos="425"/>
      </w:tabs>
      <w:ind w:left="420" w:leftChars="200" w:firstLine="270" w:firstLineChars="150"/>
    </w:pPr>
    <w:rPr>
      <w:rFonts w:ascii="Times New Roman" w:hAnsi="Times New Roman" w:eastAsia="宋体" w:cs="Times New Roman"/>
    </w:rPr>
  </w:style>
  <w:style w:type="paragraph" w:customStyle="1" w:styleId="118">
    <w:name w:val="style3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9">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120">
    <w:name w:val=" Char Char Char Char Char Char Char Char Char Char Char Char Char"/>
    <w:basedOn w:val="1"/>
    <w:autoRedefine/>
    <w:qFormat/>
    <w:uiPriority w:val="0"/>
    <w:rPr>
      <w:rFonts w:ascii="Tahoma" w:hAnsi="Tahoma" w:eastAsia="宋体" w:cs="Times New Roman"/>
      <w:sz w:val="24"/>
      <w:szCs w:val="20"/>
    </w:rPr>
  </w:style>
  <w:style w:type="paragraph" w:customStyle="1" w:styleId="121">
    <w:name w:val="_Style 44"/>
    <w:basedOn w:val="10"/>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122">
    <w:name w:val="Char Char Char Char1"/>
    <w:basedOn w:val="1"/>
    <w:autoRedefine/>
    <w:qFormat/>
    <w:uiPriority w:val="0"/>
    <w:rPr>
      <w:rFonts w:ascii="Tahoma" w:hAnsi="Tahoma" w:eastAsia="宋体" w:cs="Times New Roman"/>
      <w:sz w:val="24"/>
      <w:szCs w:val="20"/>
    </w:rPr>
  </w:style>
  <w:style w:type="paragraph" w:customStyle="1" w:styleId="123">
    <w:name w:val="_Style 14"/>
    <w:basedOn w:val="16"/>
    <w:next w:val="17"/>
    <w:autoRedefine/>
    <w:qFormat/>
    <w:uiPriority w:val="0"/>
    <w:pPr>
      <w:ind w:firstLine="420" w:firstLineChars="100"/>
    </w:pPr>
    <w:rPr>
      <w:rFonts w:ascii="Calibri" w:hAnsi="Calibri"/>
      <w:lang w:val="en-US" w:eastAsia="zh-CN"/>
    </w:rPr>
  </w:style>
  <w:style w:type="paragraph" w:customStyle="1" w:styleId="124">
    <w:name w:val="Char Char Char Char Char Char Char"/>
    <w:basedOn w:val="1"/>
    <w:autoRedefine/>
    <w:qFormat/>
    <w:uiPriority w:val="0"/>
    <w:rPr>
      <w:rFonts w:ascii="仿宋_GB2312" w:hAnsi="Times New Roman" w:eastAsia="仿宋_GB2312" w:cs="Times New Roman"/>
      <w:b/>
      <w:sz w:val="32"/>
      <w:szCs w:val="32"/>
    </w:rPr>
  </w:style>
  <w:style w:type="paragraph" w:customStyle="1" w:styleId="125">
    <w:name w:val="表标题"/>
    <w:basedOn w:val="1"/>
    <w:autoRedefine/>
    <w:qFormat/>
    <w:uiPriority w:val="0"/>
    <w:pPr>
      <w:jc w:val="center"/>
    </w:pPr>
    <w:rPr>
      <w:rFonts w:ascii="宋体" w:hAnsi="宋体"/>
      <w:szCs w:val="24"/>
    </w:rPr>
  </w:style>
  <w:style w:type="paragraph" w:customStyle="1" w:styleId="126">
    <w:name w:val="样式 首行缩进:  2 字符"/>
    <w:basedOn w:val="1"/>
    <w:autoRedefine/>
    <w:qFormat/>
    <w:uiPriority w:val="0"/>
    <w:pPr>
      <w:widowControl/>
      <w:tabs>
        <w:tab w:val="left" w:pos="420"/>
      </w:tabs>
      <w:ind w:left="420" w:hanging="420"/>
    </w:pPr>
    <w:rPr>
      <w:rFonts w:ascii="宋体" w:hAnsi="宋体" w:cs="宋体"/>
      <w:bCs/>
      <w:color w:val="000000"/>
      <w:kern w:val="0"/>
      <w:sz w:val="24"/>
    </w:rPr>
  </w:style>
  <w:style w:type="paragraph" w:customStyle="1" w:styleId="127">
    <w:name w:val="BodyText1I2"/>
    <w:basedOn w:val="3"/>
    <w:autoRedefine/>
    <w:qFormat/>
    <w:uiPriority w:val="0"/>
    <w:pPr>
      <w:ind w:firstLine="420" w:firstLineChars="200"/>
    </w:pPr>
    <w:rPr>
      <w:rFonts w:ascii="Times New Roman" w:hAnsi="Times New Roman" w:eastAsia="宋体" w:cs="Times New Roman"/>
    </w:rPr>
  </w:style>
  <w:style w:type="paragraph" w:customStyle="1" w:styleId="128">
    <w:name w:val="Other|1"/>
    <w:basedOn w:val="1"/>
    <w:qFormat/>
    <w:uiPriority w:val="0"/>
    <w:pPr>
      <w:widowControl w:val="0"/>
      <w:shd w:val="clear" w:color="auto" w:fill="auto"/>
      <w:spacing w:after="60" w:line="338" w:lineRule="auto"/>
      <w:ind w:firstLine="400"/>
    </w:pPr>
    <w:rPr>
      <w:rFonts w:ascii="宋体" w:hAnsi="宋体" w:eastAsia="宋体" w:cs="宋体"/>
      <w:sz w:val="26"/>
      <w:szCs w:val="26"/>
      <w:u w:val="none"/>
      <w:shd w:val="clear" w:color="auto" w:fill="auto"/>
      <w:lang w:val="zh-TW" w:eastAsia="zh-TW" w:bidi="zh-TW"/>
    </w:rPr>
  </w:style>
  <w:style w:type="paragraph" w:customStyle="1" w:styleId="129">
    <w:name w:val="Normal1"/>
    <w:basedOn w:val="1"/>
    <w:autoRedefine/>
    <w:qFormat/>
    <w:uiPriority w:val="0"/>
    <w:rPr>
      <w:rFonts w:eastAsia="Times New Roman"/>
      <w:kern w:val="0"/>
      <w:szCs w:val="20"/>
      <w:lang w:eastAsia="en-US"/>
    </w:rPr>
  </w:style>
  <w:style w:type="paragraph" w:customStyle="1" w:styleId="130">
    <w:name w:val="正文_1"/>
    <w:basedOn w:val="1"/>
    <w:qFormat/>
    <w:uiPriority w:val="0"/>
    <w:rPr>
      <w:rFonts w:ascii="Calibri" w:hAnsi="Calibri" w:cs="Calibri"/>
      <w:szCs w:val="21"/>
    </w:rPr>
  </w:style>
  <w:style w:type="paragraph" w:customStyle="1" w:styleId="131">
    <w:name w:val="Plain Text1"/>
    <w:basedOn w:val="129"/>
    <w:qFormat/>
    <w:uiPriority w:val="99"/>
    <w:pPr>
      <w:adjustRightInd w:val="0"/>
    </w:pPr>
    <w:rPr>
      <w:rFonts w:ascii="宋体" w:hAnsi="Courier New" w:eastAsia="楷体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2326</Words>
  <Characters>2699</Characters>
  <Lines>173</Lines>
  <Paragraphs>48</Paragraphs>
  <TotalTime>18</TotalTime>
  <ScaleCrop>false</ScaleCrop>
  <LinksUpToDate>false</LinksUpToDate>
  <CharactersWithSpaces>2784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2020-07-04T10:27:00Z</dcterms:created>
  <dc:creator>LCMZX</dc:creator>
  <cp:lastModifiedBy>阿来、</cp:lastModifiedBy>
  <cp:lastPrinted>2021-08-11T16:39:00Z</cp:lastPrinted>
  <dcterms:modified xsi:type="dcterms:W3CDTF">2025-12-10T08:50:45Z</dcterms:modified>
  <dc:title>温州市政府采购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42D9D336B805423182F3B4591620EE15_13</vt:lpwstr>
  </property>
  <property fmtid="{D5CDD505-2E9C-101B-9397-08002B2CF9AE}" pid="4" name="commondata">
    <vt:lpwstr>eyJoZGlkIjoiZDRhNzcwYWMxNDc0YjRjN2UxZDk1NTg4ZWEwNTIzZDUifQ==</vt:lpwstr>
  </property>
  <property fmtid="{D5CDD505-2E9C-101B-9397-08002B2CF9AE}" pid="5" name="KSOTemplateDocerSaveRecord">
    <vt:lpwstr>eyJoZGlkIjoiYTkwMGQ0OTIwNmMyZjZjM2FlNzY0NGEwNzVmZGYxNGUiLCJ1c2VySWQiOiI3MzE4MjYxMTkifQ==</vt:lpwstr>
  </property>
</Properties>
</file>