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22CF27">
      <w:pPr>
        <w:overflowPunct w:val="0"/>
        <w:spacing w:beforeLines="0" w:line="360" w:lineRule="auto"/>
        <w:rPr>
          <w:rFonts w:hint="eastAsia" w:ascii="宋体" w:hAnsi="宋体" w:eastAsia="宋体" w:cs="宋体"/>
          <w:b/>
          <w:color w:val="auto"/>
          <w:sz w:val="56"/>
          <w:szCs w:val="28"/>
          <w:highlight w:val="none"/>
        </w:rPr>
      </w:pPr>
      <w:bookmarkStart w:id="0" w:name="_Toc230773770"/>
      <w:bookmarkStart w:id="1" w:name="_Toc2470"/>
    </w:p>
    <w:p w14:paraId="41BDFE54">
      <w:pPr>
        <w:overflowPunct w:val="0"/>
        <w:autoSpaceDE w:val="0"/>
        <w:autoSpaceDN w:val="0"/>
        <w:spacing w:beforeLines="0" w:line="360" w:lineRule="auto"/>
        <w:jc w:val="center"/>
        <w:textAlignment w:val="bottom"/>
        <w:rPr>
          <w:rFonts w:hint="eastAsia" w:ascii="宋体" w:hAnsi="宋体" w:eastAsia="宋体" w:cs="宋体"/>
          <w:bCs/>
          <w:color w:val="auto"/>
          <w:sz w:val="96"/>
          <w:szCs w:val="96"/>
          <w:highlight w:val="none"/>
        </w:rPr>
      </w:pPr>
      <w:r>
        <w:rPr>
          <w:rFonts w:hint="eastAsia" w:ascii="宋体" w:hAnsi="宋体" w:eastAsia="宋体" w:cs="宋体"/>
          <w:b/>
          <w:bCs/>
          <w:color w:val="auto"/>
          <w:spacing w:val="120"/>
          <w:sz w:val="96"/>
          <w:szCs w:val="96"/>
          <w:highlight w:val="none"/>
        </w:rPr>
        <w:t>温州市国有企业</w:t>
      </w:r>
    </w:p>
    <w:p w14:paraId="3958F98B">
      <w:pPr>
        <w:overflowPunct w:val="0"/>
        <w:spacing w:beforeLines="0" w:line="360" w:lineRule="auto"/>
        <w:rPr>
          <w:rFonts w:hint="eastAsia" w:ascii="宋体" w:hAnsi="宋体" w:eastAsia="宋体" w:cs="宋体"/>
          <w:b/>
          <w:color w:val="auto"/>
          <w:sz w:val="48"/>
          <w:szCs w:val="22"/>
          <w:highlight w:val="none"/>
        </w:rPr>
      </w:pPr>
    </w:p>
    <w:p w14:paraId="55486C46">
      <w:pPr>
        <w:overflowPunct w:val="0"/>
        <w:spacing w:beforeLines="0" w:line="360" w:lineRule="auto"/>
        <w:rPr>
          <w:rFonts w:hint="eastAsia" w:ascii="宋体" w:hAnsi="宋体" w:eastAsia="宋体" w:cs="宋体"/>
          <w:b/>
          <w:color w:val="auto"/>
          <w:sz w:val="48"/>
          <w:szCs w:val="22"/>
          <w:highlight w:val="none"/>
        </w:rPr>
      </w:pPr>
    </w:p>
    <w:p w14:paraId="45B35505">
      <w:pPr>
        <w:overflowPunct w:val="0"/>
        <w:autoSpaceDE w:val="0"/>
        <w:autoSpaceDN w:val="0"/>
        <w:spacing w:beforeLines="0" w:line="360" w:lineRule="auto"/>
        <w:jc w:val="center"/>
        <w:textAlignment w:val="bottom"/>
        <w:rPr>
          <w:rFonts w:hint="eastAsia" w:ascii="宋体" w:hAnsi="宋体" w:eastAsia="宋体" w:cs="宋体"/>
          <w:b/>
          <w:color w:val="auto"/>
          <w:sz w:val="96"/>
          <w:szCs w:val="96"/>
          <w:highlight w:val="none"/>
        </w:rPr>
      </w:pPr>
      <w:r>
        <w:rPr>
          <w:rFonts w:hint="eastAsia" w:ascii="宋体" w:hAnsi="宋体" w:eastAsia="宋体" w:cs="宋体"/>
          <w:b/>
          <w:bCs/>
          <w:color w:val="auto"/>
          <w:sz w:val="96"/>
          <w:szCs w:val="96"/>
          <w:highlight w:val="none"/>
        </w:rPr>
        <w:t>采 购 文 件</w:t>
      </w:r>
    </w:p>
    <w:p w14:paraId="48C17D32">
      <w:pPr>
        <w:overflowPunct w:val="0"/>
        <w:spacing w:beforeLines="0" w:line="360" w:lineRule="auto"/>
        <w:rPr>
          <w:rFonts w:hint="eastAsia" w:ascii="宋体" w:hAnsi="宋体" w:eastAsia="宋体" w:cs="宋体"/>
          <w:b/>
          <w:color w:val="auto"/>
          <w:sz w:val="48"/>
          <w:szCs w:val="22"/>
          <w:highlight w:val="none"/>
        </w:rPr>
      </w:pPr>
    </w:p>
    <w:p w14:paraId="6790FA38">
      <w:pPr>
        <w:overflowPunct w:val="0"/>
        <w:spacing w:beforeLines="0" w:line="360" w:lineRule="auto"/>
        <w:rPr>
          <w:rFonts w:hint="eastAsia" w:ascii="宋体" w:hAnsi="宋体" w:eastAsia="宋体" w:cs="宋体"/>
          <w:b/>
          <w:color w:val="auto"/>
          <w:sz w:val="48"/>
          <w:szCs w:val="22"/>
          <w:highlight w:val="none"/>
        </w:rPr>
      </w:pPr>
    </w:p>
    <w:p w14:paraId="485D9C0B">
      <w:pPr>
        <w:tabs>
          <w:tab w:val="left" w:pos="4860"/>
        </w:tabs>
        <w:overflowPunct w:val="0"/>
        <w:spacing w:beforeLines="0" w:line="360" w:lineRule="auto"/>
        <w:ind w:left="2871" w:leftChars="650" w:right="1365" w:rightChars="650" w:hanging="1506" w:hangingChars="500"/>
        <w:jc w:val="left"/>
        <w:rPr>
          <w:rFonts w:hint="default" w:ascii="宋体" w:hAnsi="宋体" w:eastAsia="宋体" w:cs="宋体"/>
          <w:b/>
          <w:color w:val="auto"/>
          <w:sz w:val="30"/>
          <w:szCs w:val="30"/>
          <w:highlight w:val="none"/>
          <w:shd w:val="solid" w:color="E36C09" w:fill="FFFFFF"/>
          <w:lang w:val="en-US" w:eastAsia="zh-CN"/>
        </w:rPr>
      </w:pPr>
      <w:r>
        <w:rPr>
          <w:rFonts w:hint="eastAsia" w:ascii="宋体" w:hAnsi="宋体" w:eastAsia="宋体" w:cs="宋体"/>
          <w:b/>
          <w:color w:val="auto"/>
          <w:sz w:val="30"/>
          <w:szCs w:val="30"/>
          <w:highlight w:val="none"/>
        </w:rPr>
        <w:t>项目编号：</w:t>
      </w:r>
      <w:r>
        <w:rPr>
          <w:rFonts w:hint="eastAsia" w:ascii="宋体" w:hAnsi="宋体" w:cs="宋体"/>
          <w:b/>
          <w:color w:val="auto"/>
          <w:sz w:val="30"/>
          <w:szCs w:val="30"/>
          <w:highlight w:val="none"/>
          <w:lang w:val="en-US" w:eastAsia="zh-CN"/>
        </w:rPr>
        <w:t>ZGZB2025-634</w:t>
      </w:r>
    </w:p>
    <w:p w14:paraId="1A5B3E08">
      <w:pPr>
        <w:tabs>
          <w:tab w:val="left" w:pos="3424"/>
          <w:tab w:val="left" w:pos="4860"/>
        </w:tabs>
        <w:overflowPunct w:val="0"/>
        <w:spacing w:beforeLines="0" w:line="360" w:lineRule="auto"/>
        <w:ind w:left="2871" w:leftChars="650" w:right="1365" w:rightChars="650" w:hanging="1506" w:hangingChars="5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w:t>
      </w:r>
      <w:bookmarkStart w:id="2" w:name="OLE_LINK13"/>
      <w:r>
        <w:rPr>
          <w:rFonts w:hint="eastAsia" w:ascii="宋体" w:hAnsi="宋体" w:cs="宋体"/>
          <w:b/>
          <w:color w:val="auto"/>
          <w:sz w:val="30"/>
          <w:szCs w:val="30"/>
          <w:highlight w:val="none"/>
          <w:lang w:val="en-US" w:eastAsia="zh-CN"/>
        </w:rPr>
        <w:t>温州交运集团工程运输有限公司温州市温州湾新区瓯飞消纳场分项外包项目</w:t>
      </w:r>
    </w:p>
    <w:bookmarkEnd w:id="2"/>
    <w:p w14:paraId="66C234B2">
      <w:pPr>
        <w:tabs>
          <w:tab w:val="left" w:pos="4860"/>
        </w:tabs>
        <w:overflowPunct w:val="0"/>
        <w:spacing w:beforeLines="0" w:line="360" w:lineRule="auto"/>
        <w:ind w:left="2871" w:leftChars="650" w:right="1365" w:rightChars="650" w:hanging="1506" w:hangingChars="5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采购方式：公开招标</w:t>
      </w:r>
    </w:p>
    <w:p w14:paraId="4BA526C0">
      <w:pPr>
        <w:overflowPunct w:val="0"/>
        <w:spacing w:beforeLines="0" w:line="360" w:lineRule="auto"/>
        <w:jc w:val="center"/>
        <w:rPr>
          <w:rFonts w:hint="eastAsia" w:ascii="宋体" w:hAnsi="宋体" w:eastAsia="宋体" w:cs="宋体"/>
          <w:b/>
          <w:bCs/>
          <w:color w:val="auto"/>
          <w:sz w:val="24"/>
          <w:highlight w:val="none"/>
        </w:rPr>
      </w:pPr>
    </w:p>
    <w:p w14:paraId="7D05F25A">
      <w:pPr>
        <w:overflowPunct w:val="0"/>
        <w:spacing w:beforeLines="0" w:line="360" w:lineRule="auto"/>
        <w:jc w:val="center"/>
        <w:rPr>
          <w:rFonts w:hint="eastAsia" w:ascii="宋体" w:hAnsi="宋体" w:eastAsia="宋体" w:cs="宋体"/>
          <w:b/>
          <w:bCs/>
          <w:color w:val="auto"/>
          <w:sz w:val="24"/>
          <w:highlight w:val="none"/>
        </w:rPr>
      </w:pPr>
    </w:p>
    <w:p w14:paraId="27AB9F5A">
      <w:pPr>
        <w:tabs>
          <w:tab w:val="left" w:pos="4860"/>
        </w:tabs>
        <w:overflowPunct w:val="0"/>
        <w:spacing w:beforeLines="0" w:line="360" w:lineRule="auto"/>
        <w:ind w:left="2871" w:leftChars="650" w:right="1365" w:rightChars="650" w:hanging="1506" w:hangingChars="5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   购   人：温州交运集团工程运输有限公司</w:t>
      </w:r>
    </w:p>
    <w:p w14:paraId="38EDEB59">
      <w:pPr>
        <w:tabs>
          <w:tab w:val="left" w:pos="4860"/>
        </w:tabs>
        <w:overflowPunct w:val="0"/>
        <w:spacing w:beforeLines="0" w:line="360" w:lineRule="auto"/>
        <w:ind w:left="2871" w:leftChars="650" w:right="1365" w:rightChars="650" w:hanging="1506" w:hangingChars="500"/>
        <w:jc w:val="left"/>
        <w:rPr>
          <w:rFonts w:hint="eastAsia" w:ascii="宋体" w:hAnsi="宋体" w:eastAsia="宋体" w:cs="宋体"/>
          <w:b/>
          <w:color w:val="auto"/>
          <w:spacing w:val="0"/>
          <w:sz w:val="30"/>
          <w:szCs w:val="30"/>
          <w:highlight w:val="none"/>
        </w:rPr>
      </w:pPr>
      <w:r>
        <w:rPr>
          <w:rFonts w:hint="eastAsia" w:ascii="宋体" w:hAnsi="宋体" w:eastAsia="宋体" w:cs="宋体"/>
          <w:b/>
          <w:color w:val="auto"/>
          <w:sz w:val="30"/>
          <w:szCs w:val="30"/>
          <w:highlight w:val="none"/>
        </w:rPr>
        <w:t>采购代理机构：</w:t>
      </w:r>
      <w:r>
        <w:rPr>
          <w:rFonts w:hint="eastAsia" w:ascii="宋体" w:hAnsi="宋体" w:cs="宋体"/>
          <w:b/>
          <w:color w:val="auto"/>
          <w:sz w:val="30"/>
          <w:szCs w:val="30"/>
          <w:highlight w:val="none"/>
          <w:lang w:eastAsia="zh-CN"/>
        </w:rPr>
        <w:t>中冠工程管理咨询有限公司</w:t>
      </w:r>
    </w:p>
    <w:p w14:paraId="5E307F8C">
      <w:pPr>
        <w:pStyle w:val="3"/>
        <w:spacing w:beforeLines="0" w:after="0" w:line="360" w:lineRule="auto"/>
        <w:jc w:val="center"/>
        <w:rPr>
          <w:rFonts w:hint="eastAsia" w:ascii="宋体" w:hAnsi="宋体" w:eastAsia="宋体" w:cs="宋体"/>
          <w:b/>
          <w:color w:val="auto"/>
          <w:spacing w:val="40"/>
          <w:sz w:val="30"/>
          <w:szCs w:val="30"/>
          <w:highlight w:val="none"/>
        </w:rPr>
      </w:pPr>
    </w:p>
    <w:p w14:paraId="1E103F60">
      <w:pPr>
        <w:pStyle w:val="3"/>
        <w:spacing w:beforeLines="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pacing w:val="40"/>
          <w:sz w:val="30"/>
          <w:szCs w:val="30"/>
          <w:highlight w:val="none"/>
        </w:rPr>
        <w:t>二〇二</w:t>
      </w:r>
      <w:r>
        <w:rPr>
          <w:rFonts w:hint="eastAsia" w:ascii="宋体" w:hAnsi="宋体" w:eastAsia="宋体" w:cs="宋体"/>
          <w:b/>
          <w:color w:val="auto"/>
          <w:spacing w:val="40"/>
          <w:sz w:val="30"/>
          <w:szCs w:val="30"/>
          <w:highlight w:val="none"/>
          <w:lang w:val="en-US" w:eastAsia="zh-CN"/>
        </w:rPr>
        <w:t>五</w:t>
      </w:r>
      <w:r>
        <w:rPr>
          <w:rFonts w:hint="eastAsia" w:ascii="宋体" w:hAnsi="宋体" w:eastAsia="宋体" w:cs="宋体"/>
          <w:b/>
          <w:color w:val="auto"/>
          <w:spacing w:val="40"/>
          <w:sz w:val="30"/>
          <w:szCs w:val="30"/>
          <w:highlight w:val="none"/>
        </w:rPr>
        <w:t>年</w:t>
      </w:r>
      <w:r>
        <w:rPr>
          <w:rFonts w:hint="eastAsia" w:ascii="宋体" w:hAnsi="宋体" w:eastAsia="宋体" w:cs="宋体"/>
          <w:b/>
          <w:color w:val="auto"/>
          <w:spacing w:val="40"/>
          <w:sz w:val="30"/>
          <w:szCs w:val="30"/>
          <w:highlight w:val="none"/>
          <w:lang w:val="en-US" w:eastAsia="zh-CN"/>
        </w:rPr>
        <w:t>十二</w:t>
      </w:r>
      <w:r>
        <w:rPr>
          <w:rFonts w:hint="eastAsia" w:ascii="宋体" w:hAnsi="宋体" w:eastAsia="宋体" w:cs="宋体"/>
          <w:b/>
          <w:color w:val="auto"/>
          <w:spacing w:val="40"/>
          <w:sz w:val="30"/>
          <w:szCs w:val="30"/>
          <w:highlight w:val="none"/>
        </w:rPr>
        <w:t>月</w:t>
      </w:r>
    </w:p>
    <w:p w14:paraId="66AA1007">
      <w:pPr>
        <w:pStyle w:val="5"/>
        <w:snapToGrid/>
        <w:spacing w:beforeLines="0"/>
        <w:jc w:val="center"/>
        <w:rPr>
          <w:rFonts w:hint="eastAsia" w:ascii="宋体" w:hAnsi="宋体" w:eastAsia="宋体" w:cs="宋体"/>
          <w:color w:val="auto"/>
          <w:sz w:val="36"/>
          <w:szCs w:val="36"/>
          <w:highlight w:val="none"/>
        </w:rPr>
        <w:sectPr>
          <w:headerReference r:id="rId3" w:type="default"/>
          <w:footerReference r:id="rId4" w:type="default"/>
          <w:footerReference r:id="rId5" w:type="even"/>
          <w:pgSz w:w="11906" w:h="16838"/>
          <w:pgMar w:top="1134" w:right="1134" w:bottom="1134" w:left="1134" w:header="851" w:footer="850" w:gutter="284"/>
          <w:pgBorders w:offsetFrom="page">
            <w:top w:val="none" w:sz="0" w:space="0"/>
            <w:left w:val="none" w:sz="0" w:space="0"/>
            <w:bottom w:val="none" w:sz="0" w:space="0"/>
            <w:right w:val="none" w:sz="0" w:space="0"/>
          </w:pgBorders>
          <w:pgNumType w:start="0"/>
          <w:cols w:space="720" w:num="1"/>
          <w:titlePg/>
          <w:docGrid w:linePitch="312" w:charSpace="0"/>
        </w:sectPr>
      </w:pPr>
    </w:p>
    <w:p w14:paraId="3E428831">
      <w:pPr>
        <w:spacing w:beforeLines="0" w:line="360" w:lineRule="auto"/>
        <w:rPr>
          <w:rFonts w:hint="eastAsia" w:ascii="宋体" w:hAnsi="宋体" w:eastAsia="宋体" w:cs="宋体"/>
          <w:color w:val="auto"/>
          <w:highlight w:val="none"/>
        </w:rPr>
      </w:pPr>
    </w:p>
    <w:p w14:paraId="4336FA7E">
      <w:pPr>
        <w:keepNext/>
        <w:keepLines/>
        <w:adjustRightInd w:val="0"/>
        <w:snapToGrid/>
        <w:spacing w:beforeLines="0" w:line="360" w:lineRule="auto"/>
        <w:jc w:val="center"/>
        <w:outlineLvl w:val="9"/>
        <w:rPr>
          <w:rFonts w:hint="eastAsia" w:ascii="宋体" w:hAnsi="宋体" w:eastAsia="宋体" w:cs="宋体"/>
          <w:color w:val="auto"/>
          <w:sz w:val="36"/>
          <w:szCs w:val="36"/>
          <w:highlight w:val="none"/>
        </w:rPr>
      </w:pPr>
      <w:bookmarkStart w:id="3" w:name="_Toc2605"/>
      <w:bookmarkStart w:id="4" w:name="_Toc24614"/>
      <w:bookmarkStart w:id="5" w:name="_Toc1746"/>
      <w:bookmarkStart w:id="6" w:name="_Toc25829"/>
      <w:r>
        <w:rPr>
          <w:rFonts w:hint="eastAsia" w:ascii="宋体" w:hAnsi="宋体" w:eastAsia="宋体" w:cs="宋体"/>
          <w:color w:val="auto"/>
          <w:sz w:val="36"/>
          <w:szCs w:val="36"/>
          <w:highlight w:val="none"/>
        </w:rPr>
        <w:t>目    录</w:t>
      </w:r>
      <w:bookmarkEnd w:id="0"/>
      <w:bookmarkEnd w:id="1"/>
      <w:bookmarkEnd w:id="3"/>
      <w:bookmarkEnd w:id="4"/>
      <w:bookmarkEnd w:id="5"/>
      <w:bookmarkEnd w:id="6"/>
    </w:p>
    <w:p w14:paraId="2CEB598B">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_Toc12158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采购公告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28E576C">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_Toc4736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lang w:val="en-US" w:eastAsia="zh-CN"/>
        </w:rPr>
        <w:t>第一部分</w:t>
      </w:r>
      <w:r>
        <w:rPr>
          <w:rFonts w:hint="eastAsia" w:ascii="宋体" w:hAnsi="宋体" w:eastAsia="宋体" w:cs="宋体"/>
          <w:color w:val="auto"/>
          <w:szCs w:val="32"/>
          <w:highlight w:val="none"/>
        </w:rPr>
        <w:t xml:space="preserve">   </w:t>
      </w:r>
      <w:r>
        <w:rPr>
          <w:rFonts w:hint="eastAsia" w:ascii="宋体" w:hAnsi="宋体" w:eastAsia="宋体" w:cs="宋体"/>
          <w:bCs/>
          <w:color w:val="auto"/>
          <w:szCs w:val="18"/>
          <w:highlight w:val="none"/>
        </w:rPr>
        <w:t>投标供应商须知及前附表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A5D127C">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_Toc15673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第二部分   合同主要条款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6949C38">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_Toc18819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第三部分   附   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7E81973">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_Toc10293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第四部分   采购内容及要求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16B0999">
      <w:pPr>
        <w:pStyle w:val="32"/>
        <w:tabs>
          <w:tab w:val="right" w:leader="dot" w:pos="9354"/>
        </w:tabs>
        <w:spacing w:before="0" w:beforeLines="0" w:after="0"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第五部分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FDD53C9">
      <w:pPr>
        <w:spacing w:beforeLines="0"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Cs w:val="24"/>
          <w:highlight w:val="none"/>
        </w:rPr>
        <w:fldChar w:fldCharType="end"/>
      </w:r>
    </w:p>
    <w:p w14:paraId="390C7073">
      <w:pPr>
        <w:spacing w:beforeLines="0"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备注：采购文件中有“</w:t>
      </w:r>
      <w:r>
        <w:rPr>
          <w:rFonts w:hint="eastAsia" w:ascii="宋体" w:hAnsi="宋体" w:eastAsia="宋体" w:cs="宋体"/>
          <w:bCs/>
          <w:color w:val="auto"/>
          <w:sz w:val="24"/>
          <w:highlight w:val="none"/>
          <w:u w:val="single"/>
        </w:rPr>
        <w:t>▲</w:t>
      </w:r>
      <w:r>
        <w:rPr>
          <w:rFonts w:hint="eastAsia" w:ascii="宋体" w:hAnsi="宋体" w:eastAsia="宋体" w:cs="宋体"/>
          <w:b/>
          <w:color w:val="auto"/>
          <w:sz w:val="24"/>
          <w:highlight w:val="none"/>
          <w:u w:val="single"/>
        </w:rPr>
        <w:t>加下划线”的为实质性要求或者条款；带有黑色字体加粗的，为采购文件的重要内容，请供应商审慎阅读。</w:t>
      </w:r>
    </w:p>
    <w:p w14:paraId="06F37876">
      <w:pPr>
        <w:spacing w:beforeLines="0" w:line="360" w:lineRule="auto"/>
        <w:rPr>
          <w:rFonts w:hint="eastAsia" w:ascii="宋体" w:hAnsi="宋体" w:eastAsia="宋体" w:cs="宋体"/>
          <w:color w:val="auto"/>
          <w:highlight w:val="none"/>
        </w:rPr>
      </w:pPr>
      <w:bookmarkStart w:id="7" w:name="_Toc230773773"/>
      <w:bookmarkStart w:id="8" w:name="_Toc341449452"/>
    </w:p>
    <w:p w14:paraId="6DFF3BB8">
      <w:pPr>
        <w:spacing w:beforeLines="0" w:line="360" w:lineRule="auto"/>
        <w:rPr>
          <w:rFonts w:hint="eastAsia" w:ascii="宋体" w:hAnsi="宋体" w:eastAsia="宋体" w:cs="宋体"/>
          <w:color w:val="auto"/>
          <w:highlight w:val="none"/>
        </w:rPr>
      </w:pPr>
    </w:p>
    <w:p w14:paraId="003EE739">
      <w:pPr>
        <w:spacing w:beforeLines="0" w:line="360" w:lineRule="auto"/>
        <w:rPr>
          <w:rFonts w:hint="eastAsia" w:ascii="宋体" w:hAnsi="宋体" w:eastAsia="宋体" w:cs="宋体"/>
          <w:color w:val="auto"/>
          <w:highlight w:val="none"/>
        </w:rPr>
      </w:pPr>
    </w:p>
    <w:bookmarkEnd w:id="7"/>
    <w:bookmarkEnd w:id="8"/>
    <w:p w14:paraId="39A144CC">
      <w:pPr>
        <w:pageBreakBefore/>
        <w:spacing w:before="0" w:beforeLines="0" w:line="360" w:lineRule="auto"/>
        <w:jc w:val="center"/>
        <w:outlineLvl w:val="0"/>
        <w:rPr>
          <w:rFonts w:hint="eastAsia" w:ascii="宋体" w:hAnsi="宋体" w:eastAsia="宋体" w:cs="宋体"/>
          <w:color w:val="auto"/>
          <w:sz w:val="36"/>
          <w:szCs w:val="36"/>
          <w:highlight w:val="none"/>
        </w:rPr>
      </w:pPr>
      <w:bookmarkStart w:id="9" w:name="_Toc31150"/>
      <w:bookmarkStart w:id="10" w:name="_Toc2232"/>
      <w:bookmarkStart w:id="11" w:name="_Toc17566"/>
      <w:bookmarkStart w:id="12" w:name="_Toc23380"/>
      <w:bookmarkStart w:id="13" w:name="_Toc12158"/>
      <w:bookmarkStart w:id="14" w:name="_Toc6936"/>
      <w:bookmarkStart w:id="15" w:name="_Toc9094"/>
      <w:bookmarkStart w:id="16" w:name="_Toc31938"/>
      <w:bookmarkStart w:id="17" w:name="_Toc230773774"/>
      <w:r>
        <w:rPr>
          <w:rFonts w:hint="eastAsia" w:ascii="宋体" w:hAnsi="宋体" w:eastAsia="宋体" w:cs="宋体"/>
          <w:b/>
          <w:color w:val="auto"/>
          <w:sz w:val="28"/>
          <w:szCs w:val="28"/>
          <w:highlight w:val="none"/>
        </w:rPr>
        <w:t>温州市交运集团所属温州交运集团工程运输有限公司关于</w:t>
      </w:r>
      <w:r>
        <w:rPr>
          <w:rFonts w:hint="eastAsia" w:ascii="宋体" w:hAnsi="宋体" w:cs="宋体"/>
          <w:b/>
          <w:color w:val="auto"/>
          <w:sz w:val="28"/>
          <w:szCs w:val="28"/>
          <w:highlight w:val="none"/>
          <w:lang w:val="en-US" w:eastAsia="zh-CN"/>
        </w:rPr>
        <w:t>温州交运集团工程运输有限公司温州市温州湾新区瓯飞消纳场分项外包项目</w:t>
      </w:r>
      <w:r>
        <w:rPr>
          <w:rFonts w:hint="eastAsia" w:ascii="宋体" w:hAnsi="宋体" w:eastAsia="宋体" w:cs="宋体"/>
          <w:b/>
          <w:color w:val="auto"/>
          <w:sz w:val="28"/>
          <w:szCs w:val="28"/>
          <w:highlight w:val="none"/>
        </w:rPr>
        <w:t>的采购公告</w:t>
      </w:r>
      <w:bookmarkEnd w:id="9"/>
      <w:bookmarkEnd w:id="10"/>
      <w:bookmarkEnd w:id="11"/>
      <w:bookmarkEnd w:id="12"/>
      <w:bookmarkEnd w:id="13"/>
      <w:bookmarkEnd w:id="14"/>
      <w:bookmarkEnd w:id="15"/>
      <w:bookmarkEnd w:id="16"/>
    </w:p>
    <w:p w14:paraId="439F0113">
      <w:pPr>
        <w:tabs>
          <w:tab w:val="left" w:pos="420"/>
        </w:tabs>
        <w:spacing w:beforeLines="0" w:line="360" w:lineRule="auto"/>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等有关法律、法规的规定，中冠工程管理咨询有限公司受</w:t>
      </w:r>
      <w:r>
        <w:rPr>
          <w:rFonts w:hint="eastAsia" w:ascii="宋体" w:hAnsi="宋体" w:eastAsia="宋体" w:cs="宋体"/>
          <w:color w:val="auto"/>
          <w:kern w:val="0"/>
          <w:sz w:val="21"/>
          <w:szCs w:val="21"/>
          <w:highlight w:val="none"/>
          <w:lang w:eastAsia="zh-CN"/>
        </w:rPr>
        <w:t>温州交运集团工程运输有限公司</w:t>
      </w:r>
      <w:r>
        <w:rPr>
          <w:rFonts w:hint="eastAsia" w:ascii="宋体" w:hAnsi="宋体" w:eastAsia="宋体" w:cs="宋体"/>
          <w:color w:val="auto"/>
          <w:kern w:val="0"/>
          <w:sz w:val="21"/>
          <w:szCs w:val="21"/>
          <w:highlight w:val="none"/>
        </w:rPr>
        <w:t>的委托，就其</w:t>
      </w:r>
      <w:r>
        <w:rPr>
          <w:rFonts w:hint="eastAsia" w:ascii="宋体" w:hAnsi="宋体" w:cs="宋体"/>
          <w:color w:val="auto"/>
          <w:kern w:val="0"/>
          <w:sz w:val="21"/>
          <w:szCs w:val="21"/>
          <w:highlight w:val="none"/>
          <w:lang w:val="en-US" w:eastAsia="zh-CN"/>
        </w:rPr>
        <w:t>温州交运集团工程运输有限公司温州市温州湾新区瓯飞消纳场分项外包项目</w:t>
      </w:r>
      <w:r>
        <w:rPr>
          <w:rFonts w:hint="eastAsia" w:ascii="宋体" w:hAnsi="宋体" w:eastAsia="宋体" w:cs="宋体"/>
          <w:color w:val="auto"/>
          <w:kern w:val="0"/>
          <w:sz w:val="21"/>
          <w:szCs w:val="21"/>
          <w:highlight w:val="none"/>
        </w:rPr>
        <w:t>以公开招标方式进行国有企业采购，欢迎国内合格的投标供应商前来投标。</w:t>
      </w:r>
    </w:p>
    <w:p w14:paraId="7A67CD31">
      <w:pPr>
        <w:widowControl/>
        <w:tabs>
          <w:tab w:val="left" w:pos="420"/>
        </w:tabs>
        <w:spacing w:beforeLines="0" w:line="360" w:lineRule="auto"/>
        <w:ind w:right="62"/>
        <w:jc w:val="left"/>
        <w:outlineLvl w:val="9"/>
        <w:rPr>
          <w:rFonts w:hint="eastAsia" w:ascii="宋体" w:hAnsi="宋体" w:eastAsia="宋体" w:cs="宋体"/>
          <w:color w:val="auto"/>
          <w:kern w:val="0"/>
          <w:sz w:val="21"/>
          <w:szCs w:val="21"/>
          <w:highlight w:val="none"/>
          <w:lang w:eastAsia="zh-CN"/>
        </w:rPr>
      </w:pPr>
      <w:bookmarkStart w:id="18" w:name="_Toc30024"/>
      <w:bookmarkStart w:id="19" w:name="_Toc27516"/>
      <w:bookmarkStart w:id="20" w:name="_Toc4452"/>
      <w:bookmarkStart w:id="21" w:name="_Toc26625"/>
      <w:r>
        <w:rPr>
          <w:rFonts w:hint="eastAsia" w:ascii="宋体" w:hAnsi="宋体" w:eastAsia="宋体" w:cs="宋体"/>
          <w:b/>
          <w:color w:val="auto"/>
          <w:kern w:val="0"/>
          <w:sz w:val="21"/>
          <w:szCs w:val="21"/>
          <w:highlight w:val="none"/>
        </w:rPr>
        <w:t>一、项目编号：</w:t>
      </w:r>
      <w:bookmarkEnd w:id="18"/>
      <w:bookmarkEnd w:id="19"/>
      <w:bookmarkEnd w:id="20"/>
      <w:bookmarkEnd w:id="21"/>
      <w:r>
        <w:rPr>
          <w:rFonts w:hint="eastAsia" w:ascii="宋体" w:hAnsi="宋体" w:eastAsia="宋体" w:cs="宋体"/>
          <w:b/>
          <w:bCs w:val="0"/>
          <w:color w:val="auto"/>
          <w:kern w:val="0"/>
          <w:sz w:val="21"/>
          <w:szCs w:val="21"/>
          <w:highlight w:val="none"/>
          <w:lang w:eastAsia="zh-CN"/>
        </w:rPr>
        <w:t>ZGZB2025-634</w:t>
      </w:r>
    </w:p>
    <w:p w14:paraId="3FE246F2">
      <w:pPr>
        <w:widowControl/>
        <w:tabs>
          <w:tab w:val="left" w:pos="420"/>
        </w:tabs>
        <w:spacing w:beforeLines="0" w:line="360" w:lineRule="auto"/>
        <w:ind w:right="62"/>
        <w:jc w:val="left"/>
        <w:outlineLvl w:val="9"/>
        <w:rPr>
          <w:rFonts w:hint="eastAsia" w:ascii="宋体" w:hAnsi="宋体" w:eastAsia="宋体" w:cs="宋体"/>
          <w:color w:val="auto"/>
          <w:kern w:val="0"/>
          <w:sz w:val="21"/>
          <w:szCs w:val="21"/>
          <w:highlight w:val="none"/>
        </w:rPr>
      </w:pPr>
      <w:bookmarkStart w:id="22" w:name="_Toc12849"/>
      <w:bookmarkStart w:id="23" w:name="_Toc15293"/>
      <w:bookmarkStart w:id="24" w:name="_Toc16609"/>
      <w:bookmarkStart w:id="25" w:name="_Toc26168"/>
      <w:r>
        <w:rPr>
          <w:rFonts w:hint="eastAsia" w:ascii="宋体" w:hAnsi="宋体" w:eastAsia="宋体" w:cs="宋体"/>
          <w:b/>
          <w:color w:val="auto"/>
          <w:kern w:val="0"/>
          <w:sz w:val="21"/>
          <w:szCs w:val="21"/>
          <w:highlight w:val="none"/>
        </w:rPr>
        <w:t>二、项目名称：</w:t>
      </w:r>
      <w:bookmarkEnd w:id="22"/>
      <w:bookmarkEnd w:id="23"/>
      <w:bookmarkEnd w:id="24"/>
      <w:bookmarkEnd w:id="25"/>
      <w:r>
        <w:rPr>
          <w:rFonts w:hint="eastAsia" w:ascii="宋体" w:hAnsi="宋体" w:cs="宋体"/>
          <w:bCs/>
          <w:color w:val="auto"/>
          <w:kern w:val="0"/>
          <w:sz w:val="21"/>
          <w:szCs w:val="21"/>
          <w:highlight w:val="none"/>
          <w:lang w:val="en-US" w:eastAsia="zh-CN"/>
        </w:rPr>
        <w:t>温州交运集团工程运输有限公司温州市温州湾新区瓯飞消纳场分项外包项目</w:t>
      </w:r>
    </w:p>
    <w:p w14:paraId="536E8E9D">
      <w:pPr>
        <w:widowControl/>
        <w:tabs>
          <w:tab w:val="left" w:pos="420"/>
        </w:tabs>
        <w:spacing w:beforeLines="0" w:line="360" w:lineRule="auto"/>
        <w:ind w:right="62"/>
        <w:jc w:val="left"/>
        <w:outlineLvl w:val="9"/>
        <w:rPr>
          <w:rFonts w:hint="eastAsia" w:ascii="宋体" w:hAnsi="宋体" w:eastAsia="宋体" w:cs="宋体"/>
          <w:color w:val="auto"/>
          <w:kern w:val="0"/>
          <w:sz w:val="21"/>
          <w:szCs w:val="21"/>
          <w:highlight w:val="none"/>
        </w:rPr>
      </w:pPr>
      <w:bookmarkStart w:id="26" w:name="_Toc518"/>
      <w:bookmarkStart w:id="27" w:name="_Toc7656"/>
      <w:bookmarkStart w:id="28" w:name="_Toc3429"/>
      <w:bookmarkStart w:id="29" w:name="_Toc30588"/>
      <w:r>
        <w:rPr>
          <w:rFonts w:hint="eastAsia" w:ascii="宋体" w:hAnsi="宋体" w:eastAsia="宋体" w:cs="宋体"/>
          <w:b/>
          <w:color w:val="auto"/>
          <w:kern w:val="0"/>
          <w:sz w:val="21"/>
          <w:szCs w:val="21"/>
          <w:highlight w:val="none"/>
        </w:rPr>
        <w:t>三、项目性质：</w:t>
      </w:r>
      <w:r>
        <w:rPr>
          <w:rFonts w:hint="eastAsia" w:ascii="宋体" w:hAnsi="宋体" w:eastAsia="宋体" w:cs="宋体"/>
          <w:color w:val="auto"/>
          <w:kern w:val="0"/>
          <w:sz w:val="21"/>
          <w:szCs w:val="21"/>
          <w:highlight w:val="none"/>
        </w:rPr>
        <w:t>国企采购（非政府采购项目）</w:t>
      </w:r>
      <w:bookmarkEnd w:id="26"/>
      <w:bookmarkEnd w:id="27"/>
      <w:bookmarkEnd w:id="28"/>
      <w:bookmarkEnd w:id="29"/>
    </w:p>
    <w:p w14:paraId="67B9BE96">
      <w:pPr>
        <w:widowControl/>
        <w:tabs>
          <w:tab w:val="left" w:pos="420"/>
        </w:tabs>
        <w:spacing w:beforeLines="0" w:line="360" w:lineRule="auto"/>
        <w:ind w:right="62"/>
        <w:jc w:val="left"/>
        <w:outlineLvl w:val="9"/>
        <w:rPr>
          <w:rFonts w:hint="default" w:ascii="宋体" w:hAnsi="宋体" w:eastAsia="宋体" w:cs="宋体"/>
          <w:color w:val="auto"/>
          <w:kern w:val="0"/>
          <w:sz w:val="21"/>
          <w:szCs w:val="21"/>
          <w:highlight w:val="none"/>
          <w:lang w:val="en-US"/>
        </w:rPr>
      </w:pPr>
      <w:bookmarkStart w:id="30" w:name="_Toc20685"/>
      <w:bookmarkStart w:id="31" w:name="_Toc4072"/>
      <w:bookmarkStart w:id="32" w:name="_Toc25297"/>
      <w:bookmarkStart w:id="33" w:name="_Toc4172"/>
      <w:r>
        <w:rPr>
          <w:rFonts w:hint="eastAsia" w:ascii="宋体" w:hAnsi="宋体" w:eastAsia="宋体" w:cs="宋体"/>
          <w:b/>
          <w:color w:val="auto"/>
          <w:kern w:val="0"/>
          <w:sz w:val="21"/>
          <w:szCs w:val="21"/>
          <w:highlight w:val="none"/>
        </w:rPr>
        <w:t>四、预算金额：</w:t>
      </w:r>
      <w:bookmarkEnd w:id="30"/>
      <w:r>
        <w:rPr>
          <w:rFonts w:hint="eastAsia" w:ascii="宋体" w:hAnsi="宋体" w:cs="宋体"/>
          <w:bCs/>
          <w:color w:val="auto"/>
          <w:kern w:val="0"/>
          <w:sz w:val="21"/>
          <w:szCs w:val="21"/>
          <w:highlight w:val="none"/>
          <w:lang w:val="en-US" w:eastAsia="zh-CN"/>
        </w:rPr>
        <w:t>378</w:t>
      </w:r>
      <w:r>
        <w:rPr>
          <w:rFonts w:hint="eastAsia" w:ascii="宋体" w:hAnsi="宋体" w:eastAsia="宋体" w:cs="宋体"/>
          <w:bCs/>
          <w:color w:val="auto"/>
          <w:kern w:val="0"/>
          <w:sz w:val="21"/>
          <w:szCs w:val="21"/>
          <w:highlight w:val="none"/>
          <w:lang w:eastAsia="zh-CN"/>
        </w:rPr>
        <w:t>万元</w:t>
      </w:r>
      <w:bookmarkEnd w:id="31"/>
      <w:bookmarkEnd w:id="32"/>
      <w:bookmarkEnd w:id="33"/>
      <w:r>
        <w:rPr>
          <w:rFonts w:hint="eastAsia" w:ascii="宋体" w:hAnsi="宋体" w:cs="宋体"/>
          <w:bCs/>
          <w:color w:val="auto"/>
          <w:kern w:val="0"/>
          <w:sz w:val="21"/>
          <w:szCs w:val="21"/>
          <w:highlight w:val="none"/>
          <w:lang w:val="en-US" w:eastAsia="zh-CN"/>
        </w:rPr>
        <w:t>以内</w:t>
      </w:r>
    </w:p>
    <w:p w14:paraId="0CE9CC85">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34" w:name="_Toc3415"/>
      <w:bookmarkStart w:id="35" w:name="_Toc8706"/>
      <w:bookmarkStart w:id="36" w:name="_Toc28105"/>
      <w:bookmarkStart w:id="37" w:name="_Toc12314"/>
      <w:r>
        <w:rPr>
          <w:rFonts w:hint="eastAsia" w:ascii="宋体" w:hAnsi="宋体" w:eastAsia="宋体" w:cs="宋体"/>
          <w:b/>
          <w:color w:val="auto"/>
          <w:kern w:val="0"/>
          <w:sz w:val="21"/>
          <w:szCs w:val="21"/>
          <w:highlight w:val="none"/>
        </w:rPr>
        <w:t>五、采购内容（具体采购内容及详细技术要求见采购文件相关部分）：</w:t>
      </w:r>
      <w:bookmarkEnd w:id="34"/>
      <w:bookmarkEnd w:id="35"/>
      <w:bookmarkEnd w:id="36"/>
      <w:bookmarkEnd w:id="37"/>
    </w:p>
    <w:tbl>
      <w:tblPr>
        <w:tblStyle w:val="41"/>
        <w:tblW w:w="9535" w:type="dxa"/>
        <w:jc w:val="center"/>
        <w:tblLayout w:type="fixed"/>
        <w:tblCellMar>
          <w:top w:w="0" w:type="dxa"/>
          <w:left w:w="108" w:type="dxa"/>
          <w:bottom w:w="0" w:type="dxa"/>
          <w:right w:w="108" w:type="dxa"/>
        </w:tblCellMar>
      </w:tblPr>
      <w:tblGrid>
        <w:gridCol w:w="528"/>
        <w:gridCol w:w="1889"/>
        <w:gridCol w:w="792"/>
        <w:gridCol w:w="792"/>
        <w:gridCol w:w="1214"/>
        <w:gridCol w:w="3495"/>
        <w:gridCol w:w="825"/>
      </w:tblGrid>
      <w:tr w14:paraId="4468268A">
        <w:tblPrEx>
          <w:tblCellMar>
            <w:top w:w="0" w:type="dxa"/>
            <w:left w:w="108" w:type="dxa"/>
            <w:bottom w:w="0" w:type="dxa"/>
            <w:right w:w="108" w:type="dxa"/>
          </w:tblCellMar>
        </w:tblPrEx>
        <w:trPr>
          <w:trHeight w:val="1122"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7A7D4EB3">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序号</w:t>
            </w:r>
          </w:p>
        </w:tc>
        <w:tc>
          <w:tcPr>
            <w:tcW w:w="1889" w:type="dxa"/>
            <w:tcBorders>
              <w:top w:val="single" w:color="000000" w:sz="4" w:space="0"/>
              <w:left w:val="single" w:color="000000" w:sz="4" w:space="0"/>
              <w:bottom w:val="single" w:color="000000" w:sz="4" w:space="0"/>
              <w:right w:val="single" w:color="000000" w:sz="4" w:space="0"/>
            </w:tcBorders>
            <w:noWrap/>
            <w:vAlign w:val="center"/>
          </w:tcPr>
          <w:p w14:paraId="1E33FDFE">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名称</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427D24A1">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数量</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15F924AC">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单位</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64D10B0">
            <w:pPr>
              <w:keepNext w:val="0"/>
              <w:keepLines w:val="0"/>
              <w:widowControl/>
              <w:suppressLineNumbers w:val="0"/>
              <w:spacing w:before="0" w:beforeLines="0" w:beforeAutospacing="0" w:after="0" w:afterAutospacing="0" w:line="400" w:lineRule="exact"/>
              <w:ind w:left="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预算金额</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72E12A73">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简要说明</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802F4D5">
            <w:pPr>
              <w:keepNext w:val="0"/>
              <w:keepLines w:val="0"/>
              <w:widowControl/>
              <w:suppressLineNumbers w:val="0"/>
              <w:spacing w:before="0" w:beforeLines="0" w:beforeAutospacing="0" w:after="0" w:afterAutospacing="0" w:line="400" w:lineRule="exact"/>
              <w:ind w:left="60" w:right="6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备注</w:t>
            </w:r>
          </w:p>
        </w:tc>
      </w:tr>
      <w:tr w14:paraId="6ABF547C">
        <w:tblPrEx>
          <w:tblCellMar>
            <w:top w:w="0" w:type="dxa"/>
            <w:left w:w="108" w:type="dxa"/>
            <w:bottom w:w="0" w:type="dxa"/>
            <w:right w:w="108" w:type="dxa"/>
          </w:tblCellMar>
        </w:tblPrEx>
        <w:trPr>
          <w:trHeight w:val="901" w:hRule="atLeast"/>
          <w:jc w:val="center"/>
        </w:trPr>
        <w:tc>
          <w:tcPr>
            <w:tcW w:w="528" w:type="dxa"/>
            <w:tcBorders>
              <w:top w:val="single" w:color="000000" w:sz="4" w:space="0"/>
              <w:left w:val="single" w:color="000000" w:sz="4" w:space="0"/>
              <w:bottom w:val="single" w:color="000000" w:sz="4" w:space="0"/>
              <w:right w:val="single" w:color="000000" w:sz="4" w:space="0"/>
            </w:tcBorders>
            <w:noWrap/>
            <w:vAlign w:val="center"/>
          </w:tcPr>
          <w:p w14:paraId="5FD5CCDA">
            <w:pPr>
              <w:keepNext w:val="0"/>
              <w:keepLines w:val="0"/>
              <w:widowControl/>
              <w:suppressLineNumbers w:val="0"/>
              <w:spacing w:before="0" w:beforeLines="0" w:beforeAutospacing="0" w:after="0" w:afterAutospacing="0" w:line="400" w:lineRule="exact"/>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1889" w:type="dxa"/>
            <w:tcBorders>
              <w:top w:val="single" w:color="000000" w:sz="4" w:space="0"/>
              <w:left w:val="single" w:color="000000" w:sz="4" w:space="0"/>
              <w:bottom w:val="single" w:color="000000" w:sz="4" w:space="0"/>
              <w:right w:val="single" w:color="000000" w:sz="4" w:space="0"/>
            </w:tcBorders>
            <w:noWrap/>
            <w:vAlign w:val="center"/>
          </w:tcPr>
          <w:p w14:paraId="77E389B5">
            <w:pPr>
              <w:keepNext w:val="0"/>
              <w:keepLines w:val="0"/>
              <w:widowControl/>
              <w:suppressLineNumbers w:val="0"/>
              <w:spacing w:before="0" w:beforeLines="0" w:beforeAutospacing="0" w:after="0" w:afterAutospacing="0" w:line="400" w:lineRule="exact"/>
              <w:ind w:left="0" w:right="0"/>
              <w:jc w:val="center"/>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温州交运集团工程运输有限公司温州市温州湾新区瓯飞消纳场分项外包项目</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5A4B65E1">
            <w:pPr>
              <w:keepNext w:val="0"/>
              <w:keepLines w:val="0"/>
              <w:widowControl/>
              <w:suppressLineNumbers w:val="0"/>
              <w:spacing w:before="0" w:beforeLines="0" w:beforeAutospacing="0" w:after="0" w:afterAutospacing="0" w:line="400" w:lineRule="exact"/>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639AE39">
            <w:pPr>
              <w:keepNext w:val="0"/>
              <w:keepLines w:val="0"/>
              <w:widowControl/>
              <w:suppressLineNumbers w:val="0"/>
              <w:spacing w:before="0" w:beforeLines="0" w:beforeAutospacing="0" w:after="0" w:afterAutospacing="0" w:line="400" w:lineRule="exact"/>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项</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A540146">
            <w:pPr>
              <w:keepNext w:val="0"/>
              <w:keepLines w:val="0"/>
              <w:widowControl/>
              <w:suppressLineNumbers w:val="0"/>
              <w:spacing w:before="0" w:beforeLines="0" w:beforeAutospacing="0" w:after="0" w:afterAutospacing="0" w:line="400" w:lineRule="exact"/>
              <w:ind w:left="0" w:right="0"/>
              <w:jc w:val="center"/>
              <w:rPr>
                <w:rFonts w:hint="default" w:ascii="宋体" w:hAnsi="宋体" w:eastAsia="宋体" w:cs="宋体"/>
                <w:bCs/>
                <w:color w:val="auto"/>
                <w:kern w:val="0"/>
                <w:sz w:val="21"/>
                <w:szCs w:val="21"/>
                <w:highlight w:val="none"/>
                <w:lang w:val="en-US"/>
              </w:rPr>
            </w:pPr>
            <w:r>
              <w:rPr>
                <w:rFonts w:hint="eastAsia" w:ascii="宋体" w:hAnsi="宋体" w:cs="宋体"/>
                <w:bCs/>
                <w:color w:val="auto"/>
                <w:kern w:val="0"/>
                <w:sz w:val="21"/>
                <w:szCs w:val="21"/>
                <w:highlight w:val="none"/>
                <w:lang w:val="en-US" w:eastAsia="zh-CN"/>
              </w:rPr>
              <w:t>378</w:t>
            </w:r>
            <w:r>
              <w:rPr>
                <w:rFonts w:hint="eastAsia" w:ascii="宋体" w:hAnsi="宋体" w:eastAsia="宋体" w:cs="宋体"/>
                <w:bCs/>
                <w:color w:val="auto"/>
                <w:kern w:val="0"/>
                <w:sz w:val="21"/>
                <w:szCs w:val="21"/>
                <w:highlight w:val="none"/>
                <w:lang w:val="en-US" w:eastAsia="zh-CN"/>
              </w:rPr>
              <w:t>万元</w:t>
            </w:r>
            <w:r>
              <w:rPr>
                <w:rFonts w:hint="eastAsia" w:ascii="宋体" w:hAnsi="宋体" w:cs="宋体"/>
                <w:bCs/>
                <w:color w:val="auto"/>
                <w:kern w:val="0"/>
                <w:sz w:val="21"/>
                <w:szCs w:val="21"/>
                <w:highlight w:val="none"/>
                <w:lang w:val="en-US" w:eastAsia="zh-CN"/>
              </w:rPr>
              <w:t>以内</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5C88E4CD">
            <w:pPr>
              <w:keepNext w:val="0"/>
              <w:keepLines w:val="0"/>
              <w:widowControl/>
              <w:suppressLineNumbers w:val="0"/>
              <w:snapToGrid/>
              <w:spacing w:before="0" w:beforeLines="0" w:beforeAutospacing="0" w:after="0" w:afterAutospacing="0" w:line="400" w:lineRule="exact"/>
              <w:ind w:left="0" w:right="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采购</w:t>
            </w:r>
            <w:r>
              <w:rPr>
                <w:rFonts w:hint="eastAsia" w:ascii="宋体" w:hAnsi="宋体" w:cs="宋体"/>
                <w:bCs/>
                <w:color w:val="auto"/>
                <w:kern w:val="0"/>
                <w:sz w:val="21"/>
                <w:szCs w:val="21"/>
                <w:highlight w:val="none"/>
                <w:u w:val="none"/>
                <w:lang w:val="en-US" w:eastAsia="zh-CN"/>
              </w:rPr>
              <w:t>温州交运集团工程运输有限公司温州市温州湾新区瓯飞消纳场分项外包项目</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具体</w:t>
            </w:r>
            <w:r>
              <w:rPr>
                <w:rFonts w:hint="eastAsia" w:ascii="宋体" w:hAnsi="宋体" w:eastAsia="宋体" w:cs="宋体"/>
                <w:bCs/>
                <w:color w:val="auto"/>
                <w:kern w:val="0"/>
                <w:sz w:val="21"/>
                <w:szCs w:val="21"/>
                <w:highlight w:val="none"/>
                <w:lang w:val="en-US"/>
              </w:rPr>
              <w:t>采购内容及要求</w:t>
            </w:r>
            <w:r>
              <w:rPr>
                <w:rFonts w:hint="eastAsia" w:ascii="宋体" w:hAnsi="宋体" w:eastAsia="宋体" w:cs="宋体"/>
                <w:bCs/>
                <w:color w:val="auto"/>
                <w:kern w:val="0"/>
                <w:sz w:val="21"/>
                <w:szCs w:val="21"/>
                <w:highlight w:val="none"/>
              </w:rPr>
              <w:t>见采购文件相关部分。</w:t>
            </w:r>
            <w:r>
              <w:rPr>
                <w:rFonts w:hint="eastAsia" w:ascii="宋体" w:hAnsi="宋体" w:eastAsia="宋体" w:cs="宋体"/>
                <w:bCs/>
                <w:color w:val="auto"/>
                <w:kern w:val="0"/>
                <w:sz w:val="21"/>
                <w:szCs w:val="21"/>
                <w:highlight w:val="none"/>
                <w:lang w:val="en-US" w:eastAsia="zh-CN"/>
              </w:rPr>
              <w:t>最高综合单价限价</w:t>
            </w:r>
            <w:r>
              <w:rPr>
                <w:rFonts w:hint="eastAsia" w:ascii="宋体" w:hAnsi="宋体" w:cs="宋体"/>
                <w:bCs/>
                <w:color w:val="auto"/>
                <w:kern w:val="0"/>
                <w:sz w:val="21"/>
                <w:szCs w:val="21"/>
                <w:highlight w:val="none"/>
                <w:lang w:val="en-US" w:eastAsia="zh-CN"/>
              </w:rPr>
              <w:t>2.10元/吨</w:t>
            </w:r>
            <w:r>
              <w:rPr>
                <w:rFonts w:hint="eastAsia" w:ascii="宋体" w:hAnsi="宋体" w:eastAsia="宋体" w:cs="宋体"/>
                <w:bCs/>
                <w:color w:val="auto"/>
                <w:kern w:val="0"/>
                <w:sz w:val="21"/>
                <w:szCs w:val="21"/>
                <w:highlight w:val="none"/>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7E33A0">
            <w:pPr>
              <w:keepNext w:val="0"/>
              <w:keepLines w:val="0"/>
              <w:widowControl/>
              <w:suppressLineNumbers w:val="0"/>
              <w:spacing w:before="0" w:beforeLines="0" w:beforeAutospacing="0" w:after="0" w:afterAutospacing="0" w:line="400" w:lineRule="exact"/>
              <w:ind w:left="0" w:right="0"/>
              <w:rPr>
                <w:rFonts w:hint="eastAsia" w:ascii="宋体" w:hAnsi="宋体" w:eastAsia="宋体" w:cs="宋体"/>
                <w:bCs/>
                <w:color w:val="auto"/>
                <w:kern w:val="0"/>
                <w:sz w:val="21"/>
                <w:szCs w:val="21"/>
                <w:highlight w:val="none"/>
              </w:rPr>
            </w:pPr>
          </w:p>
        </w:tc>
      </w:tr>
    </w:tbl>
    <w:p w14:paraId="6D8DCC5B">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38" w:name="_Toc14014"/>
      <w:bookmarkStart w:id="39" w:name="_Toc21142"/>
      <w:bookmarkStart w:id="40" w:name="_Toc29191"/>
      <w:bookmarkStart w:id="41" w:name="_Toc28111"/>
      <w:r>
        <w:rPr>
          <w:rFonts w:hint="eastAsia" w:ascii="宋体" w:hAnsi="宋体" w:eastAsia="宋体" w:cs="宋体"/>
          <w:b/>
          <w:color w:val="auto"/>
          <w:kern w:val="0"/>
          <w:sz w:val="21"/>
          <w:szCs w:val="21"/>
          <w:highlight w:val="none"/>
        </w:rPr>
        <w:t>六、投标供应商资格要求：</w:t>
      </w:r>
      <w:bookmarkEnd w:id="38"/>
      <w:bookmarkEnd w:id="39"/>
      <w:bookmarkEnd w:id="40"/>
      <w:bookmarkEnd w:id="41"/>
    </w:p>
    <w:p w14:paraId="740CD92A">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第十</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条对供应商参加温州市国有企业采购活动应当具备的条件的要求。</w:t>
      </w:r>
    </w:p>
    <w:p w14:paraId="02A4E946">
      <w:pPr>
        <w:widowControl/>
        <w:tabs>
          <w:tab w:val="left" w:pos="420"/>
        </w:tabs>
        <w:spacing w:beforeLines="0" w:line="360" w:lineRule="auto"/>
        <w:ind w:right="6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 w:val="21"/>
          <w:szCs w:val="21"/>
          <w:highlight w:val="none"/>
        </w:rPr>
        <w:t>投标供应商未被“信用中国”（www.creditchina.gov.cn）、中国政府采购网（www.ccgp.gov.cn）列入失信被执行人、重大税收违法案件当事人名单、采购严重违法失信行为记录名单。</w:t>
      </w:r>
    </w:p>
    <w:p w14:paraId="5382AA4B">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3、单位负责人为同一人或者存在直接控股、管理关系的不同供应商，不得同时参加本项目投标；</w:t>
      </w:r>
    </w:p>
    <w:p w14:paraId="7A0B4AF3">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须具备</w:t>
      </w:r>
      <w:r>
        <w:rPr>
          <w:rFonts w:hint="eastAsia" w:ascii="宋体" w:hAnsi="宋体" w:eastAsia="宋体" w:cs="宋体"/>
          <w:color w:val="auto"/>
          <w:kern w:val="0"/>
          <w:sz w:val="21"/>
          <w:szCs w:val="21"/>
          <w:highlight w:val="none"/>
          <w:lang w:val="en-US" w:eastAsia="zh-CN"/>
        </w:rPr>
        <w:t>地基基础工程专业承包三级及以上资质</w:t>
      </w:r>
      <w:r>
        <w:rPr>
          <w:rFonts w:hint="eastAsia" w:ascii="宋体" w:hAnsi="宋体" w:cs="宋体"/>
          <w:color w:val="auto"/>
          <w:sz w:val="21"/>
          <w:szCs w:val="21"/>
          <w:highlight w:val="none"/>
          <w:lang w:val="en-US" w:eastAsia="zh-CN"/>
        </w:rPr>
        <w:t>；</w:t>
      </w:r>
    </w:p>
    <w:p w14:paraId="4F741A20">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u w:val="single"/>
        </w:rPr>
        <w:t>不接受</w:t>
      </w:r>
      <w:r>
        <w:rPr>
          <w:rFonts w:hint="eastAsia" w:ascii="宋体" w:hAnsi="宋体" w:eastAsia="宋体" w:cs="宋体"/>
          <w:color w:val="auto"/>
          <w:kern w:val="0"/>
          <w:sz w:val="21"/>
          <w:szCs w:val="21"/>
          <w:highlight w:val="none"/>
        </w:rPr>
        <w:t>联合体投标</w:t>
      </w:r>
      <w:r>
        <w:rPr>
          <w:rFonts w:hint="eastAsia" w:ascii="宋体" w:hAnsi="宋体" w:eastAsia="宋体" w:cs="宋体"/>
          <w:bCs/>
          <w:color w:val="auto"/>
          <w:sz w:val="21"/>
          <w:szCs w:val="21"/>
          <w:highlight w:val="none"/>
        </w:rPr>
        <w:t>。</w:t>
      </w:r>
    </w:p>
    <w:p w14:paraId="4AD64EE3">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42" w:name="_Toc31094"/>
      <w:bookmarkStart w:id="43" w:name="_Toc30268"/>
      <w:bookmarkStart w:id="44" w:name="_Toc12517"/>
      <w:bookmarkStart w:id="45" w:name="_Toc2496"/>
      <w:r>
        <w:rPr>
          <w:rFonts w:hint="eastAsia" w:ascii="宋体" w:hAnsi="宋体" w:eastAsia="宋体" w:cs="宋体"/>
          <w:b/>
          <w:color w:val="auto"/>
          <w:kern w:val="0"/>
          <w:sz w:val="21"/>
          <w:szCs w:val="21"/>
          <w:highlight w:val="none"/>
        </w:rPr>
        <w:t>七、发售采购文件时间及地点：</w:t>
      </w:r>
      <w:bookmarkEnd w:id="42"/>
      <w:bookmarkEnd w:id="43"/>
      <w:bookmarkEnd w:id="44"/>
      <w:bookmarkEnd w:id="45"/>
    </w:p>
    <w:p w14:paraId="222ADC2C">
      <w:pPr>
        <w:widowControl w:val="0"/>
        <w:spacing w:beforeLines="0"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报名时间及采购文件发售时间：自本公告公布日起至</w:t>
      </w:r>
      <w:r>
        <w:rPr>
          <w:rFonts w:hint="eastAsia" w:ascii="宋体" w:hAnsi="宋体" w:eastAsia="宋体" w:cs="宋体"/>
          <w:color w:val="auto"/>
          <w:kern w:val="0"/>
          <w:sz w:val="21"/>
          <w:szCs w:val="21"/>
          <w:highlight w:val="none"/>
          <w:lang w:val="en-US" w:eastAsia="zh-CN" w:bidi="ar"/>
        </w:rPr>
        <w:t>投标截止时间</w:t>
      </w:r>
      <w:r>
        <w:rPr>
          <w:rFonts w:hint="eastAsia" w:ascii="宋体" w:hAnsi="宋体" w:eastAsia="宋体" w:cs="宋体"/>
          <w:color w:val="auto"/>
          <w:kern w:val="0"/>
          <w:sz w:val="21"/>
          <w:szCs w:val="21"/>
          <w:highlight w:val="none"/>
        </w:rPr>
        <w:t>之前，报名单位准</w:t>
      </w:r>
      <w:r>
        <w:rPr>
          <w:rFonts w:hint="eastAsia" w:ascii="宋体" w:hAnsi="宋体" w:eastAsia="宋体" w:cs="宋体"/>
          <w:color w:val="auto"/>
          <w:kern w:val="0"/>
          <w:sz w:val="21"/>
          <w:szCs w:val="21"/>
          <w:highlight w:val="none"/>
          <w:lang w:val="en-US" w:eastAsia="zh-CN"/>
        </w:rPr>
        <w:t>好</w:t>
      </w:r>
      <w:r>
        <w:rPr>
          <w:rFonts w:hint="eastAsia" w:ascii="宋体" w:hAnsi="宋体" w:eastAsia="宋体" w:cs="宋体"/>
          <w:color w:val="auto"/>
          <w:kern w:val="0"/>
          <w:sz w:val="21"/>
          <w:szCs w:val="21"/>
          <w:highlight w:val="none"/>
        </w:rPr>
        <w:t>资料</w:t>
      </w:r>
      <w:r>
        <w:rPr>
          <w:rFonts w:hint="eastAsia" w:ascii="宋体" w:hAnsi="宋体" w:eastAsia="宋体" w:cs="宋体"/>
          <w:color w:val="auto"/>
          <w:kern w:val="0"/>
          <w:sz w:val="21"/>
          <w:szCs w:val="21"/>
          <w:highlight w:val="none"/>
          <w:lang w:val="en-US" w:eastAsia="zh-CN"/>
        </w:rPr>
        <w:t>均可</w:t>
      </w:r>
      <w:r>
        <w:rPr>
          <w:rFonts w:hint="eastAsia" w:ascii="宋体" w:hAnsi="宋体" w:eastAsia="宋体" w:cs="宋体"/>
          <w:color w:val="auto"/>
          <w:kern w:val="0"/>
          <w:sz w:val="21"/>
          <w:szCs w:val="21"/>
          <w:highlight w:val="none"/>
        </w:rPr>
        <w:t>报名（上午：8:30-11:30下午：14:</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0-16:30双休日及法定节假日除外</w:t>
      </w:r>
      <w:r>
        <w:rPr>
          <w:rFonts w:hint="eastAsia" w:ascii="宋体" w:hAnsi="宋体" w:eastAsia="宋体" w:cs="宋体"/>
          <w:color w:val="auto"/>
          <w:kern w:val="0"/>
          <w:sz w:val="21"/>
          <w:szCs w:val="21"/>
          <w:highlight w:val="none"/>
          <w:lang w:val="en-US" w:eastAsia="zh-CN" w:bidi="ar"/>
        </w:rPr>
        <w:t>，未购买采购文件的潜在投标供应商拒绝参加投标</w:t>
      </w:r>
      <w:r>
        <w:rPr>
          <w:rFonts w:hint="eastAsia" w:ascii="宋体" w:hAnsi="宋体" w:eastAsia="宋体" w:cs="宋体"/>
          <w:color w:val="auto"/>
          <w:kern w:val="0"/>
          <w:sz w:val="21"/>
          <w:szCs w:val="21"/>
          <w:highlight w:val="none"/>
        </w:rPr>
        <w:t>）。</w:t>
      </w:r>
    </w:p>
    <w:p w14:paraId="7A0CC210">
      <w:pPr>
        <w:pStyle w:val="37"/>
        <w:spacing w:before="0" w:beforeLines="0" w:beforeAutospacing="0" w:after="0" w:afterAutospacing="0" w:line="360" w:lineRule="auto"/>
        <w:ind w:firstLine="435"/>
        <w:rPr>
          <w:rStyle w:val="44"/>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Style w:val="44"/>
          <w:rFonts w:hint="eastAsia" w:ascii="宋体" w:hAnsi="宋体" w:eastAsia="宋体" w:cs="宋体"/>
          <w:b w:val="0"/>
          <w:bCs w:val="0"/>
          <w:color w:val="auto"/>
          <w:sz w:val="21"/>
          <w:szCs w:val="21"/>
          <w:highlight w:val="none"/>
        </w:rPr>
        <w:t>报名方式：线下报名或邮箱报名</w:t>
      </w:r>
    </w:p>
    <w:p w14:paraId="6B3B2A4C">
      <w:pPr>
        <w:pStyle w:val="37"/>
        <w:spacing w:before="0" w:beforeLines="0" w:beforeAutospacing="0" w:after="0" w:afterAutospacing="0" w:line="360" w:lineRule="auto"/>
        <w:ind w:firstLine="435"/>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线下报名方式：报名时须提交的文件资料到温州市鹿城区牛山商务大厦1201室报名。</w:t>
      </w:r>
    </w:p>
    <w:p w14:paraId="457EF518">
      <w:pPr>
        <w:pStyle w:val="37"/>
        <w:spacing w:before="0" w:beforeLines="0" w:beforeAutospacing="0" w:after="0" w:afterAutospacing="0" w:line="360" w:lineRule="auto"/>
        <w:ind w:firstLine="435"/>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邮箱报名方式：投标人可以将报名资料及联系方式发送到781043757@qq.com邮箱，并联系代理公司完成报名。</w:t>
      </w:r>
    </w:p>
    <w:p w14:paraId="232D6E5A">
      <w:pPr>
        <w:widowControl/>
        <w:tabs>
          <w:tab w:val="left" w:pos="420"/>
          <w:tab w:val="left" w:pos="840"/>
        </w:tabs>
        <w:spacing w:beforeLines="0" w:line="360" w:lineRule="auto"/>
        <w:ind w:firstLine="457" w:firstLineChars="218"/>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采购文件售价(元)：人民币500元整（售后不退）。</w:t>
      </w:r>
    </w:p>
    <w:p w14:paraId="48C26C24">
      <w:pPr>
        <w:widowControl/>
        <w:tabs>
          <w:tab w:val="left" w:pos="420"/>
          <w:tab w:val="left" w:pos="840"/>
        </w:tabs>
        <w:spacing w:beforeLines="0" w:line="360" w:lineRule="auto"/>
        <w:ind w:firstLine="457" w:firstLineChars="218"/>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、购买采购文件时须提交的文件资料：</w:t>
      </w:r>
    </w:p>
    <w:p w14:paraId="62AA395E">
      <w:pPr>
        <w:widowControl/>
        <w:tabs>
          <w:tab w:val="left" w:pos="420"/>
          <w:tab w:val="left" w:pos="840"/>
        </w:tabs>
        <w:spacing w:beforeLines="0" w:line="360" w:lineRule="auto"/>
        <w:ind w:firstLine="457" w:firstLineChars="218"/>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（1）供应商报名申请表</w:t>
      </w:r>
      <w:r>
        <w:rPr>
          <w:rFonts w:hint="eastAsia" w:ascii="宋体" w:hAnsi="宋体" w:cs="宋体"/>
          <w:color w:val="auto"/>
          <w:kern w:val="0"/>
          <w:sz w:val="21"/>
          <w:szCs w:val="21"/>
          <w:highlight w:val="none"/>
          <w:lang w:val="en-US" w:eastAsia="zh-CN"/>
        </w:rPr>
        <w:t>（格式自拟，</w:t>
      </w:r>
      <w:r>
        <w:rPr>
          <w:rFonts w:hint="eastAsia" w:ascii="宋体" w:hAnsi="宋体" w:eastAsia="宋体" w:cs="宋体"/>
          <w:color w:val="auto"/>
          <w:kern w:val="0"/>
          <w:sz w:val="21"/>
          <w:szCs w:val="21"/>
          <w:highlight w:val="none"/>
          <w:lang w:val="en-US" w:eastAsia="zh-CN"/>
        </w:rPr>
        <w:t>加盖单位公章</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191125E7">
      <w:pPr>
        <w:widowControl/>
        <w:tabs>
          <w:tab w:val="left" w:pos="420"/>
          <w:tab w:val="left" w:pos="840"/>
        </w:tabs>
        <w:spacing w:beforeLines="0" w:line="360" w:lineRule="auto"/>
        <w:ind w:firstLine="457" w:firstLineChars="218"/>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）供应商介绍信或法人代表授权书（加盖单位公章）；</w:t>
      </w:r>
    </w:p>
    <w:p w14:paraId="72C2FA51">
      <w:pPr>
        <w:widowControl/>
        <w:tabs>
          <w:tab w:val="left" w:pos="420"/>
          <w:tab w:val="left" w:pos="840"/>
        </w:tabs>
        <w:spacing w:beforeLines="0" w:line="360" w:lineRule="auto"/>
        <w:ind w:firstLine="457" w:firstLineChars="218"/>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）供应商有效的营业执照（复印件加盖单位公章）。</w:t>
      </w:r>
    </w:p>
    <w:p w14:paraId="62596D31">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46" w:name="_Toc26354"/>
      <w:bookmarkStart w:id="47" w:name="_Toc3903"/>
      <w:bookmarkStart w:id="48" w:name="_Toc8771"/>
      <w:bookmarkStart w:id="49" w:name="_Toc1779"/>
      <w:r>
        <w:rPr>
          <w:rFonts w:hint="eastAsia" w:ascii="宋体" w:hAnsi="宋体" w:eastAsia="宋体" w:cs="宋体"/>
          <w:b/>
          <w:color w:val="auto"/>
          <w:kern w:val="0"/>
          <w:sz w:val="21"/>
          <w:szCs w:val="21"/>
          <w:highlight w:val="none"/>
        </w:rPr>
        <w:t>八、投标文件递交截止时间、开标时间及地点：</w:t>
      </w:r>
      <w:bookmarkEnd w:id="46"/>
      <w:bookmarkEnd w:id="47"/>
      <w:bookmarkEnd w:id="48"/>
      <w:bookmarkEnd w:id="49"/>
    </w:p>
    <w:p w14:paraId="6A7BE4D8">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投标截止时间：</w:t>
      </w:r>
      <w:bookmarkStart w:id="50" w:name="B23_谈判响应文件提交截止日期"/>
      <w:bookmarkEnd w:id="50"/>
      <w:r>
        <w:rPr>
          <w:rFonts w:hint="eastAsia" w:ascii="宋体" w:hAnsi="宋体" w:eastAsia="宋体" w:cs="宋体"/>
          <w:b/>
          <w:bCs/>
          <w:color w:val="auto"/>
          <w:kern w:val="0"/>
          <w:sz w:val="21"/>
          <w:szCs w:val="21"/>
          <w:highlight w:val="none"/>
          <w:lang w:eastAsia="zh-CN"/>
        </w:rPr>
        <w:t>202</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12</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23</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lang w:val="en-US" w:eastAsia="zh-CN"/>
        </w:rPr>
        <w:t>09</w:t>
      </w:r>
      <w:r>
        <w:rPr>
          <w:rFonts w:hint="eastAsia" w:ascii="宋体" w:hAnsi="宋体" w:eastAsia="宋体" w:cs="宋体"/>
          <w:b/>
          <w:bCs/>
          <w:color w:val="auto"/>
          <w:kern w:val="0"/>
          <w:sz w:val="21"/>
          <w:szCs w:val="21"/>
          <w:highlight w:val="none"/>
        </w:rPr>
        <w:t>时</w:t>
      </w:r>
      <w:r>
        <w:rPr>
          <w:rFonts w:hint="eastAsia" w:ascii="宋体" w:hAnsi="宋体" w:eastAsia="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分(北京时间，下同)</w:t>
      </w:r>
      <w:r>
        <w:rPr>
          <w:rFonts w:hint="eastAsia" w:ascii="宋体" w:hAnsi="宋体" w:eastAsia="宋体" w:cs="宋体"/>
          <w:color w:val="auto"/>
          <w:kern w:val="0"/>
          <w:sz w:val="21"/>
          <w:szCs w:val="21"/>
          <w:highlight w:val="none"/>
        </w:rPr>
        <w:t>。</w:t>
      </w:r>
    </w:p>
    <w:p w14:paraId="10C92AE4">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投标文件</w:t>
      </w:r>
      <w:r>
        <w:rPr>
          <w:rFonts w:hint="eastAsia" w:ascii="宋体" w:hAnsi="宋体" w:eastAsia="宋体" w:cs="宋体"/>
          <w:color w:val="auto"/>
          <w:kern w:val="0"/>
          <w:sz w:val="21"/>
          <w:szCs w:val="21"/>
          <w:highlight w:val="none"/>
          <w:lang w:eastAsia="zh-CN"/>
        </w:rPr>
        <w:t>递交</w:t>
      </w:r>
      <w:r>
        <w:rPr>
          <w:rFonts w:hint="eastAsia" w:ascii="宋体" w:hAnsi="宋体" w:eastAsia="宋体" w:cs="宋体"/>
          <w:color w:val="auto"/>
          <w:kern w:val="0"/>
          <w:sz w:val="21"/>
          <w:szCs w:val="21"/>
          <w:highlight w:val="none"/>
        </w:rPr>
        <w:t>地点：温州市鹿城区牛山商务大厦1201室。</w:t>
      </w:r>
    </w:p>
    <w:p w14:paraId="24FA20FD">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开标时间：</w:t>
      </w:r>
      <w:bookmarkStart w:id="51" w:name="B26_谈判时间日期"/>
      <w:bookmarkEnd w:id="51"/>
      <w:r>
        <w:rPr>
          <w:rFonts w:hint="eastAsia" w:ascii="宋体" w:hAnsi="宋体" w:eastAsia="宋体" w:cs="宋体"/>
          <w:color w:val="auto"/>
          <w:kern w:val="0"/>
          <w:sz w:val="21"/>
          <w:szCs w:val="21"/>
          <w:highlight w:val="none"/>
        </w:rPr>
        <w:t>同投标截止时间。</w:t>
      </w:r>
    </w:p>
    <w:p w14:paraId="063FE050">
      <w:pPr>
        <w:widowControl/>
        <w:tabs>
          <w:tab w:val="left" w:pos="420"/>
        </w:tabs>
        <w:spacing w:beforeLines="0" w:line="360" w:lineRule="auto"/>
        <w:ind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开标地点：</w:t>
      </w:r>
      <w:r>
        <w:rPr>
          <w:rFonts w:hint="eastAsia" w:ascii="宋体" w:hAnsi="宋体" w:eastAsia="宋体" w:cs="宋体"/>
          <w:color w:val="auto"/>
          <w:sz w:val="21"/>
          <w:szCs w:val="21"/>
          <w:highlight w:val="none"/>
        </w:rPr>
        <w:t>温州市鹿城区牛山商务大厦1201室</w:t>
      </w:r>
      <w:r>
        <w:rPr>
          <w:rFonts w:hint="eastAsia" w:ascii="宋体" w:hAnsi="宋体" w:eastAsia="宋体" w:cs="宋体"/>
          <w:color w:val="auto"/>
          <w:kern w:val="0"/>
          <w:sz w:val="21"/>
          <w:szCs w:val="21"/>
          <w:highlight w:val="none"/>
        </w:rPr>
        <w:t>。</w:t>
      </w:r>
    </w:p>
    <w:p w14:paraId="2A565445">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52" w:name="_Toc27580"/>
      <w:bookmarkStart w:id="53" w:name="_Toc24062"/>
      <w:bookmarkStart w:id="54" w:name="_Toc4670"/>
      <w:bookmarkStart w:id="55" w:name="_Toc21496"/>
      <w:r>
        <w:rPr>
          <w:rFonts w:hint="eastAsia" w:ascii="宋体" w:hAnsi="宋体" w:eastAsia="宋体" w:cs="宋体"/>
          <w:b/>
          <w:color w:val="auto"/>
          <w:kern w:val="0"/>
          <w:sz w:val="21"/>
          <w:szCs w:val="21"/>
          <w:highlight w:val="none"/>
        </w:rPr>
        <w:t>九、投标保证金及交付方式：</w:t>
      </w:r>
      <w:bookmarkEnd w:id="52"/>
      <w:bookmarkEnd w:id="53"/>
      <w:bookmarkEnd w:id="54"/>
      <w:bookmarkEnd w:id="55"/>
    </w:p>
    <w:p w14:paraId="3E807600">
      <w:pPr>
        <w:widowControl w:val="0"/>
        <w:spacing w:beforeLines="0"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w:t>
      </w:r>
      <w:r>
        <w:rPr>
          <w:rFonts w:hint="eastAsia" w:ascii="宋体" w:hAnsi="宋体" w:eastAsia="宋体" w:cs="宋体"/>
          <w:b/>
          <w:bCs/>
          <w:color w:val="auto"/>
          <w:kern w:val="0"/>
          <w:sz w:val="21"/>
          <w:szCs w:val="21"/>
          <w:highlight w:val="none"/>
        </w:rPr>
        <w:t>人民币</w:t>
      </w:r>
      <w:r>
        <w:rPr>
          <w:rFonts w:hint="eastAsia" w:ascii="宋体" w:hAnsi="宋体" w:cs="宋体"/>
          <w:b/>
          <w:bCs/>
          <w:color w:val="auto"/>
          <w:kern w:val="0"/>
          <w:sz w:val="21"/>
          <w:szCs w:val="21"/>
          <w:highlight w:val="none"/>
          <w:lang w:val="en-US" w:eastAsia="zh-CN"/>
        </w:rPr>
        <w:t>柒</w:t>
      </w:r>
      <w:r>
        <w:rPr>
          <w:rFonts w:hint="eastAsia" w:ascii="宋体" w:hAnsi="宋体" w:eastAsia="宋体" w:cs="宋体"/>
          <w:b/>
          <w:bCs/>
          <w:color w:val="auto"/>
          <w:kern w:val="0"/>
          <w:sz w:val="21"/>
          <w:szCs w:val="21"/>
          <w:highlight w:val="none"/>
          <w:lang w:val="en-US" w:eastAsia="zh-CN"/>
        </w:rPr>
        <w:t>万</w:t>
      </w:r>
      <w:r>
        <w:rPr>
          <w:rFonts w:hint="eastAsia" w:ascii="宋体" w:hAnsi="宋体" w:eastAsia="宋体" w:cs="宋体"/>
          <w:b/>
          <w:bCs/>
          <w:color w:val="auto"/>
          <w:kern w:val="0"/>
          <w:sz w:val="21"/>
          <w:szCs w:val="21"/>
          <w:highlight w:val="none"/>
        </w:rPr>
        <w:t>元整</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color w:val="auto"/>
          <w:kern w:val="0"/>
          <w:sz w:val="21"/>
          <w:szCs w:val="21"/>
          <w:highlight w:val="none"/>
        </w:rPr>
        <w:t>保证金缴纳截止时间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同投标截止时间</w:t>
      </w:r>
      <w:r>
        <w:rPr>
          <w:rFonts w:hint="eastAsia" w:ascii="宋体" w:hAnsi="宋体" w:eastAsia="宋体" w:cs="宋体"/>
          <w:b/>
          <w:bCs/>
          <w:color w:val="auto"/>
          <w:kern w:val="0"/>
          <w:sz w:val="21"/>
          <w:szCs w:val="21"/>
          <w:highlight w:val="none"/>
          <w:lang w:val="en-US" w:eastAsia="zh-CN" w:bidi="ar"/>
        </w:rPr>
        <w:t>（投标供应商须在投标截止时间前将投标保证金以银行转帐形式缴纳并到帐，汇出账号须为投标供应商银行帐户）</w:t>
      </w:r>
      <w:r>
        <w:rPr>
          <w:rFonts w:hint="eastAsia" w:ascii="宋体" w:hAnsi="宋体" w:eastAsia="宋体" w:cs="宋体"/>
          <w:color w:val="auto"/>
          <w:kern w:val="0"/>
          <w:sz w:val="21"/>
          <w:szCs w:val="21"/>
          <w:highlight w:val="none"/>
        </w:rPr>
        <w:t>。投标供应商缴纳投标保证金后，请</w:t>
      </w:r>
      <w:r>
        <w:rPr>
          <w:rFonts w:hint="eastAsia" w:ascii="宋体" w:hAnsi="宋体" w:cs="宋体"/>
          <w:b/>
          <w:bCs/>
          <w:color w:val="auto"/>
          <w:kern w:val="0"/>
          <w:sz w:val="21"/>
          <w:szCs w:val="21"/>
          <w:highlight w:val="none"/>
          <w:lang w:val="en-US" w:eastAsia="zh-CN"/>
        </w:rPr>
        <w:t>携带</w:t>
      </w:r>
      <w:r>
        <w:rPr>
          <w:rFonts w:hint="eastAsia" w:ascii="宋体" w:hAnsi="宋体" w:eastAsia="宋体" w:cs="宋体"/>
          <w:color w:val="auto"/>
          <w:kern w:val="0"/>
          <w:sz w:val="21"/>
          <w:szCs w:val="21"/>
          <w:highlight w:val="none"/>
        </w:rPr>
        <w:t>保证金缴纳凭证（银行转账支票进账单、电汇单等，缴纳保证金用途</w:t>
      </w:r>
      <w:r>
        <w:rPr>
          <w:rFonts w:hint="eastAsia" w:ascii="宋体" w:hAnsi="宋体" w:eastAsia="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rPr>
        <w:t>注明项目名称）复印件在提交投标文件时递交给采购代理机构。</w:t>
      </w:r>
    </w:p>
    <w:p w14:paraId="53BED2C7">
      <w:pPr>
        <w:widowControl/>
        <w:tabs>
          <w:tab w:val="left" w:pos="420"/>
        </w:tabs>
        <w:spacing w:beforeLines="0" w:line="360" w:lineRule="auto"/>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投标保证金帐号信息：</w:t>
      </w:r>
    </w:p>
    <w:p w14:paraId="330F14BC">
      <w:pPr>
        <w:widowControl/>
        <w:tabs>
          <w:tab w:val="left" w:pos="420"/>
        </w:tabs>
        <w:spacing w:beforeLines="0" w:line="360" w:lineRule="auto"/>
        <w:ind w:left="0" w:right="60"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eastAsia="zh-CN"/>
        </w:rPr>
        <w:t>中冠工程管理咨询有限公司</w:t>
      </w:r>
    </w:p>
    <w:p w14:paraId="34FCDBBA">
      <w:pPr>
        <w:widowControl/>
        <w:tabs>
          <w:tab w:val="left" w:pos="420"/>
        </w:tabs>
        <w:spacing w:beforeLines="0" w:line="360" w:lineRule="auto"/>
        <w:ind w:left="0" w:right="6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r>
        <w:rPr>
          <w:rFonts w:hint="eastAsia" w:ascii="宋体" w:hAnsi="宋体" w:cs="宋体"/>
          <w:color w:val="auto"/>
          <w:kern w:val="0"/>
          <w:sz w:val="21"/>
          <w:szCs w:val="21"/>
          <w:highlight w:val="none"/>
          <w:lang w:eastAsia="zh-CN"/>
        </w:rPr>
        <w:t>396174745263</w:t>
      </w:r>
    </w:p>
    <w:p w14:paraId="0646379D">
      <w:pPr>
        <w:widowControl/>
        <w:tabs>
          <w:tab w:val="left" w:pos="420"/>
        </w:tabs>
        <w:spacing w:beforeLines="0" w:line="360" w:lineRule="auto"/>
        <w:ind w:left="0" w:right="60"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银行名称：</w:t>
      </w:r>
      <w:r>
        <w:rPr>
          <w:rFonts w:hint="eastAsia" w:ascii="宋体" w:hAnsi="宋体" w:cs="宋体"/>
          <w:color w:val="auto"/>
          <w:kern w:val="0"/>
          <w:sz w:val="21"/>
          <w:szCs w:val="21"/>
          <w:highlight w:val="none"/>
          <w:lang w:eastAsia="zh-CN"/>
        </w:rPr>
        <w:t>中国银行宁波市分行</w:t>
      </w:r>
    </w:p>
    <w:p w14:paraId="38F9A23F">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56" w:name="_Toc14829"/>
      <w:bookmarkStart w:id="57" w:name="_Toc27997"/>
      <w:bookmarkStart w:id="58" w:name="_Toc17501"/>
      <w:bookmarkStart w:id="59" w:name="_Toc30476"/>
      <w:r>
        <w:rPr>
          <w:rFonts w:hint="eastAsia" w:ascii="宋体" w:hAnsi="宋体" w:eastAsia="宋体" w:cs="宋体"/>
          <w:b/>
          <w:color w:val="auto"/>
          <w:kern w:val="0"/>
          <w:sz w:val="21"/>
          <w:szCs w:val="21"/>
          <w:highlight w:val="none"/>
        </w:rPr>
        <w:t>十、其他事项：</w:t>
      </w:r>
      <w:bookmarkEnd w:id="56"/>
      <w:bookmarkEnd w:id="57"/>
      <w:bookmarkEnd w:id="58"/>
      <w:bookmarkEnd w:id="59"/>
    </w:p>
    <w:p w14:paraId="3CBCE2BD">
      <w:pPr>
        <w:widowControl/>
        <w:tabs>
          <w:tab w:val="left" w:pos="420"/>
        </w:tabs>
        <w:spacing w:beforeLines="0" w:line="360" w:lineRule="auto"/>
        <w:ind w:firstLine="43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采购公告期限：5个工作日，从公告发布的次日起算。</w:t>
      </w:r>
    </w:p>
    <w:p w14:paraId="0F9FA258">
      <w:pPr>
        <w:widowControl/>
        <w:tabs>
          <w:tab w:val="left" w:pos="420"/>
        </w:tabs>
        <w:spacing w:beforeLines="0" w:line="360" w:lineRule="auto"/>
        <w:ind w:firstLine="435"/>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2</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采购人（集团）的内设监管职能部门投诉。</w:t>
      </w:r>
    </w:p>
    <w:p w14:paraId="3927856D">
      <w:pPr>
        <w:widowControl/>
        <w:tabs>
          <w:tab w:val="left" w:pos="420"/>
        </w:tabs>
        <w:spacing w:beforeLines="0" w:line="360" w:lineRule="auto"/>
        <w:ind w:firstLine="435"/>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温州市交通运输集团有限公司负责对投标供应商反映的企业本部及所属企业在采购活动中出现的违法违规问题进行投诉回复。投标供应商认为温州市交通运输集团有限公司投诉回复处理结果不合法的，可以采购人或</w:t>
      </w:r>
      <w:r>
        <w:rPr>
          <w:rFonts w:hint="eastAsia" w:ascii="宋体" w:hAnsi="宋体" w:eastAsia="宋体" w:cs="宋体"/>
          <w:b w:val="0"/>
          <w:bCs w:val="0"/>
          <w:color w:val="auto"/>
          <w:kern w:val="0"/>
          <w:sz w:val="21"/>
          <w:szCs w:val="21"/>
          <w:highlight w:val="none"/>
          <w:u w:val="none"/>
          <w:lang w:val="en-US" w:eastAsia="zh-CN"/>
        </w:rPr>
        <w:t>采购</w:t>
      </w:r>
      <w:r>
        <w:rPr>
          <w:rFonts w:hint="eastAsia" w:ascii="宋体" w:hAnsi="宋体" w:eastAsia="宋体" w:cs="宋体"/>
          <w:b w:val="0"/>
          <w:bCs w:val="0"/>
          <w:color w:val="auto"/>
          <w:kern w:val="0"/>
          <w:sz w:val="21"/>
          <w:szCs w:val="21"/>
          <w:highlight w:val="none"/>
          <w:u w:val="none"/>
        </w:rPr>
        <w:t>代理机构为对象依法向人民法院提起诉讼。</w:t>
      </w:r>
    </w:p>
    <w:p w14:paraId="1FEB071B">
      <w:pPr>
        <w:widowControl/>
        <w:tabs>
          <w:tab w:val="left" w:pos="420"/>
        </w:tabs>
        <w:spacing w:beforeLines="0" w:line="360" w:lineRule="auto"/>
        <w:ind w:firstLine="43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采购公告附件的采购文件仅供阅览使用，未按照本公告规定的方式获取采购文件的潜在供应商提起的质疑，采购人及</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将不予受理、答复。</w:t>
      </w:r>
    </w:p>
    <w:p w14:paraId="7F8BFB43">
      <w:pPr>
        <w:widowControl/>
        <w:tabs>
          <w:tab w:val="left" w:pos="420"/>
        </w:tabs>
        <w:spacing w:beforeLines="0" w:line="360" w:lineRule="auto"/>
        <w:ind w:firstLine="43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供应商如对采购文件有疑问应按采购文件规定的询疑截止时间前提出，逾期提出的，采购组织机构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采购人及</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lang w:val="en-US" w:eastAsia="zh-CN"/>
        </w:rPr>
        <w:t>下同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可以不予受理、答复。</w:t>
      </w:r>
    </w:p>
    <w:p w14:paraId="6DAD88C4">
      <w:pPr>
        <w:widowControl/>
        <w:tabs>
          <w:tab w:val="left" w:pos="420"/>
        </w:tabs>
        <w:spacing w:beforeLines="0" w:line="360" w:lineRule="auto"/>
        <w:ind w:firstLine="43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书面质疑受理地点：</w:t>
      </w:r>
      <w:r>
        <w:rPr>
          <w:rFonts w:hint="eastAsia" w:ascii="宋体" w:hAnsi="宋体" w:cs="宋体"/>
          <w:b/>
          <w:bCs/>
          <w:color w:val="auto"/>
          <w:kern w:val="0"/>
          <w:sz w:val="21"/>
          <w:szCs w:val="21"/>
          <w:highlight w:val="none"/>
          <w:lang w:eastAsia="zh-CN"/>
        </w:rPr>
        <w:t>温州市鹿城区牛山商务大厦1201室</w:t>
      </w:r>
      <w:r>
        <w:rPr>
          <w:rFonts w:hint="eastAsia" w:ascii="宋体" w:hAnsi="宋体" w:eastAsia="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eastAsia="zh-CN"/>
        </w:rPr>
        <w:t>中冠工程管理咨询有限公司</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，联系人：</w:t>
      </w:r>
      <w:r>
        <w:rPr>
          <w:rFonts w:hint="eastAsia" w:ascii="宋体" w:hAnsi="宋体" w:cs="宋体"/>
          <w:b/>
          <w:bCs/>
          <w:color w:val="auto"/>
          <w:kern w:val="0"/>
          <w:sz w:val="21"/>
          <w:szCs w:val="21"/>
          <w:highlight w:val="none"/>
          <w:lang w:eastAsia="zh-CN"/>
        </w:rPr>
        <w:t>朱雪洋、叶财、范少亮、唐虹波</w:t>
      </w:r>
      <w:r>
        <w:rPr>
          <w:rFonts w:hint="eastAsia" w:ascii="宋体" w:hAnsi="宋体" w:eastAsia="宋体" w:cs="宋体"/>
          <w:b/>
          <w:bCs/>
          <w:color w:val="auto"/>
          <w:kern w:val="0"/>
          <w:sz w:val="21"/>
          <w:szCs w:val="21"/>
          <w:highlight w:val="none"/>
        </w:rPr>
        <w:t>，联系电话：</w:t>
      </w:r>
      <w:r>
        <w:rPr>
          <w:rFonts w:hint="eastAsia" w:ascii="宋体" w:hAnsi="宋体" w:cs="宋体"/>
          <w:b/>
          <w:bCs/>
          <w:color w:val="auto"/>
          <w:kern w:val="0"/>
          <w:sz w:val="21"/>
          <w:szCs w:val="21"/>
          <w:highlight w:val="none"/>
          <w:lang w:eastAsia="zh-CN"/>
        </w:rPr>
        <w:t>18892604170</w:t>
      </w:r>
      <w:r>
        <w:rPr>
          <w:rFonts w:hint="eastAsia" w:ascii="宋体" w:hAnsi="宋体" w:eastAsia="宋体" w:cs="宋体"/>
          <w:b/>
          <w:bCs/>
          <w:color w:val="auto"/>
          <w:kern w:val="0"/>
          <w:sz w:val="21"/>
          <w:szCs w:val="21"/>
          <w:highlight w:val="none"/>
        </w:rPr>
        <w:t>。</w:t>
      </w:r>
    </w:p>
    <w:p w14:paraId="0E3B1AAC">
      <w:pPr>
        <w:widowControl/>
        <w:tabs>
          <w:tab w:val="left" w:pos="420"/>
        </w:tabs>
        <w:spacing w:beforeLines="0" w:line="360" w:lineRule="auto"/>
        <w:ind w:right="62"/>
        <w:jc w:val="left"/>
        <w:outlineLvl w:val="9"/>
        <w:rPr>
          <w:rFonts w:hint="eastAsia" w:ascii="宋体" w:hAnsi="宋体" w:eastAsia="宋体" w:cs="宋体"/>
          <w:b/>
          <w:color w:val="auto"/>
          <w:kern w:val="0"/>
          <w:sz w:val="21"/>
          <w:szCs w:val="21"/>
          <w:highlight w:val="none"/>
        </w:rPr>
      </w:pPr>
      <w:bookmarkStart w:id="60" w:name="_Toc3775"/>
      <w:bookmarkStart w:id="61" w:name="_Toc31137"/>
      <w:bookmarkStart w:id="62" w:name="_Toc25758"/>
      <w:bookmarkStart w:id="63" w:name="_Toc5590"/>
      <w:r>
        <w:rPr>
          <w:rFonts w:hint="eastAsia" w:ascii="宋体" w:hAnsi="宋体" w:eastAsia="宋体" w:cs="宋体"/>
          <w:b/>
          <w:color w:val="auto"/>
          <w:kern w:val="0"/>
          <w:sz w:val="21"/>
          <w:szCs w:val="21"/>
          <w:highlight w:val="none"/>
        </w:rPr>
        <w:t>十一、联系方式</w:t>
      </w:r>
      <w:bookmarkEnd w:id="60"/>
      <w:bookmarkEnd w:id="61"/>
      <w:bookmarkEnd w:id="62"/>
      <w:bookmarkEnd w:id="63"/>
    </w:p>
    <w:p w14:paraId="499760C7">
      <w:pPr>
        <w:widowControl/>
        <w:tabs>
          <w:tab w:val="left" w:pos="420"/>
        </w:tabs>
        <w:spacing w:beforeLines="0" w:line="360" w:lineRule="auto"/>
        <w:ind w:firstLine="420" w:firstLineChars="200"/>
        <w:jc w:val="left"/>
        <w:outlineLvl w:val="9"/>
        <w:rPr>
          <w:rFonts w:hint="eastAsia" w:ascii="宋体" w:hAnsi="宋体" w:eastAsia="宋体" w:cs="宋体"/>
          <w:color w:val="auto"/>
          <w:kern w:val="0"/>
          <w:sz w:val="21"/>
          <w:szCs w:val="21"/>
          <w:highlight w:val="none"/>
        </w:rPr>
      </w:pPr>
      <w:bookmarkStart w:id="64" w:name="_Toc16417"/>
      <w:bookmarkStart w:id="65" w:name="_Toc32224"/>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w:t>
      </w:r>
      <w:bookmarkEnd w:id="64"/>
      <w:r>
        <w:rPr>
          <w:rFonts w:hint="eastAsia" w:ascii="宋体" w:hAnsi="宋体" w:eastAsia="宋体" w:cs="宋体"/>
          <w:color w:val="auto"/>
          <w:kern w:val="0"/>
          <w:sz w:val="21"/>
          <w:szCs w:val="21"/>
          <w:highlight w:val="none"/>
        </w:rPr>
        <w:t>温州交运集团工程运输有限公司</w:t>
      </w:r>
      <w:bookmarkEnd w:id="65"/>
    </w:p>
    <w:p w14:paraId="728E98E2">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地址：浙江省温州市鹿城区牛山北路52号</w:t>
      </w:r>
    </w:p>
    <w:p w14:paraId="4F01F46E">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蔡经理、</w:t>
      </w:r>
      <w:r>
        <w:rPr>
          <w:rFonts w:hint="eastAsia" w:ascii="宋体" w:hAnsi="宋体" w:eastAsia="宋体" w:cs="宋体"/>
          <w:color w:val="auto"/>
          <w:kern w:val="0"/>
          <w:sz w:val="21"/>
          <w:szCs w:val="21"/>
          <w:highlight w:val="none"/>
          <w:lang w:eastAsia="zh-CN"/>
        </w:rPr>
        <w:t>黄先生</w:t>
      </w:r>
    </w:p>
    <w:p w14:paraId="23E6209A">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联系电话：13857777860</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13505770557</w:t>
      </w:r>
    </w:p>
    <w:p w14:paraId="49D58AE5">
      <w:pPr>
        <w:widowControl/>
        <w:tabs>
          <w:tab w:val="left" w:pos="420"/>
        </w:tabs>
        <w:spacing w:beforeLines="0" w:line="360" w:lineRule="auto"/>
        <w:ind w:firstLine="420" w:firstLineChars="200"/>
        <w:jc w:val="left"/>
        <w:outlineLvl w:val="9"/>
        <w:rPr>
          <w:rFonts w:hint="eastAsia" w:ascii="宋体" w:hAnsi="宋体" w:eastAsia="宋体" w:cs="宋体"/>
          <w:color w:val="auto"/>
          <w:kern w:val="0"/>
          <w:sz w:val="21"/>
          <w:szCs w:val="21"/>
          <w:highlight w:val="none"/>
          <w:lang w:eastAsia="zh-CN"/>
        </w:rPr>
      </w:pPr>
      <w:bookmarkStart w:id="66" w:name="_Toc8978"/>
      <w:bookmarkStart w:id="67" w:name="_Toc7017"/>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采购代理机构名称：</w:t>
      </w:r>
      <w:bookmarkEnd w:id="66"/>
      <w:bookmarkEnd w:id="67"/>
      <w:r>
        <w:rPr>
          <w:rFonts w:hint="eastAsia" w:ascii="宋体" w:hAnsi="宋体" w:cs="宋体"/>
          <w:color w:val="auto"/>
          <w:kern w:val="0"/>
          <w:sz w:val="21"/>
          <w:szCs w:val="21"/>
          <w:highlight w:val="none"/>
          <w:lang w:eastAsia="zh-CN"/>
        </w:rPr>
        <w:t>中冠工程管理咨询有限公司</w:t>
      </w:r>
    </w:p>
    <w:p w14:paraId="6BDF48EA">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温州市鹿城区牛山商务大厦1201室</w:t>
      </w:r>
    </w:p>
    <w:p w14:paraId="013132CD">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eastAsia="zh-CN"/>
        </w:rPr>
        <w:t>朱雪洋、叶财、范少亮、唐虹波</w:t>
      </w:r>
    </w:p>
    <w:p w14:paraId="501B63A5">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eastAsia="zh-CN"/>
        </w:rPr>
        <w:t>18892604170</w:t>
      </w:r>
    </w:p>
    <w:p w14:paraId="3F432102">
      <w:pPr>
        <w:widowControl/>
        <w:tabs>
          <w:tab w:val="left" w:pos="420"/>
        </w:tabs>
        <w:spacing w:beforeLines="0" w:line="360" w:lineRule="auto"/>
        <w:ind w:firstLine="420" w:firstLineChars="200"/>
        <w:jc w:val="left"/>
        <w:rPr>
          <w:rFonts w:hint="eastAsia" w:ascii="宋体" w:hAnsi="宋体" w:eastAsia="宋体" w:cs="宋体"/>
          <w:color w:val="auto"/>
          <w:kern w:val="0"/>
          <w:sz w:val="21"/>
          <w:szCs w:val="21"/>
          <w:highlight w:val="none"/>
        </w:rPr>
      </w:pPr>
      <w:bookmarkStart w:id="68" w:name="_Toc6180"/>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采购监督管理部门：</w:t>
      </w:r>
      <w:bookmarkEnd w:id="68"/>
      <w:r>
        <w:rPr>
          <w:rFonts w:hint="eastAsia" w:ascii="宋体" w:hAnsi="宋体" w:eastAsia="宋体" w:cs="宋体"/>
          <w:color w:val="auto"/>
          <w:kern w:val="0"/>
          <w:sz w:val="21"/>
          <w:szCs w:val="21"/>
          <w:highlight w:val="none"/>
        </w:rPr>
        <w:t>温州市交通运输集团有限公司纪检监察室</w:t>
      </w:r>
    </w:p>
    <w:p w14:paraId="5E3B0CFB">
      <w:pPr>
        <w:widowControl/>
        <w:tabs>
          <w:tab w:val="left" w:pos="420"/>
        </w:tabs>
        <w:spacing w:beforeLines="0" w:line="360" w:lineRule="auto"/>
        <w:ind w:firstLine="420" w:firstLineChars="200"/>
        <w:jc w:val="left"/>
        <w:rPr>
          <w:rFonts w:hint="eastAsia" w:ascii="宋体" w:hAnsi="宋体" w:eastAsia="宋体" w:cs="宋体"/>
          <w:bCs/>
          <w:color w:val="auto"/>
          <w:kern w:val="36"/>
          <w:sz w:val="21"/>
          <w:szCs w:val="21"/>
          <w:highlight w:val="none"/>
        </w:rPr>
      </w:pPr>
      <w:r>
        <w:rPr>
          <w:rFonts w:hint="eastAsia" w:ascii="宋体" w:hAnsi="宋体" w:eastAsia="宋体" w:cs="宋体"/>
          <w:bCs/>
          <w:color w:val="auto"/>
          <w:kern w:val="36"/>
          <w:sz w:val="21"/>
          <w:szCs w:val="21"/>
          <w:highlight w:val="none"/>
        </w:rPr>
        <w:t>联系人：杨女士</w:t>
      </w:r>
    </w:p>
    <w:p w14:paraId="29060848">
      <w:pPr>
        <w:widowControl/>
        <w:tabs>
          <w:tab w:val="left" w:pos="420"/>
        </w:tabs>
        <w:spacing w:beforeLines="0" w:line="360" w:lineRule="auto"/>
        <w:ind w:firstLine="420" w:firstLineChars="200"/>
        <w:jc w:val="left"/>
        <w:rPr>
          <w:rFonts w:hint="eastAsia" w:ascii="宋体" w:hAnsi="宋体" w:eastAsia="宋体" w:cs="宋体"/>
          <w:bCs/>
          <w:color w:val="auto"/>
          <w:kern w:val="36"/>
          <w:sz w:val="21"/>
          <w:szCs w:val="21"/>
          <w:highlight w:val="none"/>
        </w:rPr>
      </w:pPr>
      <w:r>
        <w:rPr>
          <w:rFonts w:hint="eastAsia" w:ascii="宋体" w:hAnsi="宋体" w:eastAsia="宋体" w:cs="宋体"/>
          <w:bCs/>
          <w:color w:val="auto"/>
          <w:kern w:val="36"/>
          <w:sz w:val="21"/>
          <w:szCs w:val="21"/>
          <w:highlight w:val="none"/>
        </w:rPr>
        <w:t>联系电话：0577-55587663</w:t>
      </w:r>
    </w:p>
    <w:p w14:paraId="2389C982">
      <w:pPr>
        <w:widowControl/>
        <w:tabs>
          <w:tab w:val="left" w:pos="420"/>
        </w:tabs>
        <w:spacing w:beforeLines="0" w:line="360" w:lineRule="auto"/>
        <w:ind w:firstLine="435"/>
        <w:jc w:val="right"/>
        <w:rPr>
          <w:rFonts w:hint="eastAsia" w:ascii="宋体" w:hAnsi="宋体" w:eastAsia="宋体" w:cs="宋体"/>
          <w:bCs/>
          <w:color w:val="auto"/>
          <w:kern w:val="36"/>
          <w:sz w:val="21"/>
          <w:szCs w:val="21"/>
          <w:highlight w:val="none"/>
        </w:rPr>
      </w:pPr>
      <w:r>
        <w:rPr>
          <w:rFonts w:hint="eastAsia" w:ascii="宋体" w:hAnsi="宋体" w:eastAsia="宋体" w:cs="宋体"/>
          <w:bCs/>
          <w:color w:val="auto"/>
          <w:kern w:val="36"/>
          <w:sz w:val="21"/>
          <w:szCs w:val="21"/>
          <w:highlight w:val="none"/>
        </w:rPr>
        <w:t>温州交运集团工程运输有限公司</w:t>
      </w:r>
    </w:p>
    <w:p w14:paraId="7E458F78">
      <w:pPr>
        <w:widowControl/>
        <w:tabs>
          <w:tab w:val="left" w:pos="420"/>
        </w:tabs>
        <w:spacing w:beforeLines="0" w:line="360" w:lineRule="auto"/>
        <w:ind w:firstLine="435"/>
        <w:jc w:val="right"/>
        <w:rPr>
          <w:rFonts w:hint="eastAsia" w:ascii="宋体" w:hAnsi="宋体" w:eastAsia="宋体" w:cs="宋体"/>
          <w:bCs/>
          <w:color w:val="auto"/>
          <w:kern w:val="36"/>
          <w:sz w:val="21"/>
          <w:szCs w:val="21"/>
          <w:highlight w:val="none"/>
          <w:lang w:eastAsia="zh-CN"/>
        </w:rPr>
      </w:pPr>
      <w:r>
        <w:rPr>
          <w:rFonts w:hint="eastAsia" w:ascii="宋体" w:hAnsi="宋体" w:cs="宋体"/>
          <w:color w:val="auto"/>
          <w:kern w:val="0"/>
          <w:sz w:val="21"/>
          <w:szCs w:val="21"/>
          <w:highlight w:val="none"/>
          <w:lang w:eastAsia="zh-CN"/>
        </w:rPr>
        <w:t>中冠工程管理咨询有限公司</w:t>
      </w:r>
    </w:p>
    <w:p w14:paraId="49302AD8">
      <w:pPr>
        <w:tabs>
          <w:tab w:val="left" w:pos="420"/>
        </w:tabs>
        <w:spacing w:beforeLines="0" w:line="360" w:lineRule="auto"/>
        <w:ind w:firstLine="399" w:firstLineChars="190"/>
        <w:jc w:val="right"/>
        <w:rPr>
          <w:rFonts w:hint="eastAsia" w:ascii="宋体" w:hAnsi="宋体" w:eastAsia="宋体" w:cs="宋体"/>
          <w:b/>
          <w:color w:val="auto"/>
          <w:sz w:val="28"/>
          <w:szCs w:val="28"/>
          <w:highlight w:val="none"/>
        </w:rPr>
      </w:pPr>
      <w:r>
        <w:rPr>
          <w:rFonts w:hint="eastAsia" w:ascii="宋体" w:hAnsi="宋体" w:eastAsia="宋体" w:cs="宋体"/>
          <w:bCs/>
          <w:color w:val="auto"/>
          <w:kern w:val="36"/>
          <w:sz w:val="21"/>
          <w:szCs w:val="21"/>
          <w:highlight w:val="none"/>
          <w:lang w:eastAsia="zh-CN"/>
        </w:rPr>
        <w:t>202</w:t>
      </w:r>
      <w:r>
        <w:rPr>
          <w:rFonts w:hint="eastAsia" w:ascii="宋体" w:hAnsi="宋体" w:eastAsia="宋体" w:cs="宋体"/>
          <w:bCs/>
          <w:color w:val="auto"/>
          <w:kern w:val="36"/>
          <w:sz w:val="21"/>
          <w:szCs w:val="21"/>
          <w:highlight w:val="none"/>
          <w:lang w:val="en-US" w:eastAsia="zh-CN"/>
        </w:rPr>
        <w:t>5</w:t>
      </w:r>
      <w:r>
        <w:rPr>
          <w:rFonts w:hint="eastAsia" w:ascii="宋体" w:hAnsi="宋体" w:eastAsia="宋体" w:cs="宋体"/>
          <w:bCs/>
          <w:color w:val="auto"/>
          <w:kern w:val="36"/>
          <w:sz w:val="21"/>
          <w:szCs w:val="21"/>
          <w:highlight w:val="none"/>
        </w:rPr>
        <w:t>年</w:t>
      </w:r>
      <w:r>
        <w:rPr>
          <w:rFonts w:hint="eastAsia" w:ascii="宋体" w:hAnsi="宋体" w:cs="宋体"/>
          <w:bCs/>
          <w:color w:val="auto"/>
          <w:kern w:val="36"/>
          <w:sz w:val="21"/>
          <w:szCs w:val="21"/>
          <w:highlight w:val="none"/>
          <w:lang w:val="en-US" w:eastAsia="zh-CN"/>
        </w:rPr>
        <w:t>12</w:t>
      </w:r>
      <w:r>
        <w:rPr>
          <w:rFonts w:hint="eastAsia" w:ascii="宋体" w:hAnsi="宋体" w:eastAsia="宋体" w:cs="宋体"/>
          <w:bCs/>
          <w:color w:val="auto"/>
          <w:kern w:val="36"/>
          <w:sz w:val="21"/>
          <w:szCs w:val="21"/>
          <w:highlight w:val="none"/>
        </w:rPr>
        <w:t>月</w:t>
      </w:r>
      <w:r>
        <w:rPr>
          <w:rFonts w:hint="eastAsia" w:ascii="宋体" w:hAnsi="宋体" w:cs="宋体"/>
          <w:bCs/>
          <w:color w:val="auto"/>
          <w:kern w:val="36"/>
          <w:sz w:val="21"/>
          <w:szCs w:val="21"/>
          <w:highlight w:val="none"/>
          <w:lang w:val="en-US" w:eastAsia="zh-CN"/>
        </w:rPr>
        <w:t>10</w:t>
      </w:r>
      <w:r>
        <w:rPr>
          <w:rFonts w:hint="eastAsia" w:ascii="宋体" w:hAnsi="宋体" w:eastAsia="宋体" w:cs="宋体"/>
          <w:bCs/>
          <w:color w:val="auto"/>
          <w:kern w:val="36"/>
          <w:sz w:val="21"/>
          <w:szCs w:val="21"/>
          <w:highlight w:val="none"/>
        </w:rPr>
        <w:t>日</w:t>
      </w:r>
    </w:p>
    <w:p w14:paraId="7588E225">
      <w:pPr>
        <w:pageBreakBefore/>
        <w:widowControl/>
        <w:shd w:val="clear" w:color="auto" w:fill="auto"/>
        <w:spacing w:before="0" w:beforeLines="0"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color w:val="auto"/>
          <w:sz w:val="32"/>
          <w:szCs w:val="32"/>
          <w:highlight w:val="none"/>
        </w:rPr>
        <w:t>温州市交运集团所属温州交运集团工程运输有限公司关于</w:t>
      </w:r>
      <w:r>
        <w:rPr>
          <w:rFonts w:hint="eastAsia" w:ascii="宋体" w:hAnsi="宋体" w:cs="宋体"/>
          <w:b/>
          <w:color w:val="auto"/>
          <w:sz w:val="32"/>
          <w:szCs w:val="32"/>
          <w:highlight w:val="none"/>
          <w:lang w:val="en-US" w:eastAsia="zh-CN"/>
        </w:rPr>
        <w:t>温州交运集团工程运输有限公司温州市温州湾新区瓯飞消纳场分项外包项目</w:t>
      </w:r>
      <w:r>
        <w:rPr>
          <w:rFonts w:hint="eastAsia" w:ascii="宋体" w:hAnsi="宋体" w:eastAsia="宋体" w:cs="宋体"/>
          <w:b/>
          <w:color w:val="auto"/>
          <w:sz w:val="32"/>
          <w:szCs w:val="32"/>
          <w:highlight w:val="none"/>
        </w:rPr>
        <w:t>的征求意见公示</w:t>
      </w:r>
    </w:p>
    <w:p w14:paraId="1B9042BA">
      <w:pPr>
        <w:widowControl/>
        <w:shd w:val="clear" w:color="auto" w:fill="auto"/>
        <w:spacing w:beforeLines="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中冠工程管理咨询有限公司受</w:t>
      </w:r>
      <w:r>
        <w:rPr>
          <w:rFonts w:hint="eastAsia" w:ascii="宋体" w:hAnsi="宋体" w:eastAsia="宋体" w:cs="宋体"/>
          <w:color w:val="auto"/>
          <w:kern w:val="0"/>
          <w:sz w:val="21"/>
          <w:szCs w:val="21"/>
          <w:highlight w:val="none"/>
          <w:lang w:eastAsia="zh-CN"/>
        </w:rPr>
        <w:t>温州交运集团工程运输有限公司</w:t>
      </w:r>
      <w:r>
        <w:rPr>
          <w:rFonts w:hint="eastAsia" w:ascii="宋体" w:hAnsi="宋体" w:eastAsia="宋体" w:cs="宋体"/>
          <w:color w:val="auto"/>
          <w:kern w:val="0"/>
          <w:sz w:val="21"/>
          <w:szCs w:val="21"/>
          <w:highlight w:val="none"/>
        </w:rPr>
        <w:t>的委托，就其</w:t>
      </w:r>
      <w:r>
        <w:rPr>
          <w:rFonts w:hint="eastAsia" w:ascii="宋体" w:hAnsi="宋体" w:cs="宋体"/>
          <w:color w:val="auto"/>
          <w:kern w:val="0"/>
          <w:sz w:val="21"/>
          <w:szCs w:val="21"/>
          <w:highlight w:val="none"/>
          <w:lang w:val="en-US" w:eastAsia="zh-CN"/>
        </w:rPr>
        <w:t>温州交运集团工程运输有限公司温州市温州湾新区瓯飞消纳场分项外包项目</w:t>
      </w:r>
      <w:r>
        <w:rPr>
          <w:rFonts w:hint="eastAsia" w:ascii="宋体" w:hAnsi="宋体" w:eastAsia="宋体" w:cs="宋体"/>
          <w:color w:val="auto"/>
          <w:kern w:val="0"/>
          <w:sz w:val="21"/>
          <w:szCs w:val="21"/>
          <w:highlight w:val="none"/>
        </w:rPr>
        <w:t>以公开招标方式进行国有企业采购，现将该项目采购文件公布如下，并公开征求供应商及专家意见。</w:t>
      </w:r>
    </w:p>
    <w:p w14:paraId="0B402E0D">
      <w:pPr>
        <w:widowControl/>
        <w:shd w:val="clear" w:color="auto" w:fill="auto"/>
        <w:spacing w:beforeLines="0" w:line="360" w:lineRule="auto"/>
        <w:jc w:val="left"/>
        <w:outlineLvl w:val="9"/>
        <w:rPr>
          <w:rFonts w:hint="eastAsia" w:ascii="宋体" w:hAnsi="宋体" w:eastAsia="宋体" w:cs="宋体"/>
          <w:color w:val="auto"/>
          <w:kern w:val="0"/>
          <w:sz w:val="21"/>
          <w:szCs w:val="21"/>
          <w:highlight w:val="none"/>
        </w:rPr>
      </w:pPr>
      <w:bookmarkStart w:id="69" w:name="_Toc25577"/>
      <w:bookmarkStart w:id="70" w:name="_Toc25964"/>
      <w:bookmarkStart w:id="71" w:name="_Toc9918"/>
      <w:bookmarkStart w:id="72" w:name="_Toc22136"/>
      <w:bookmarkStart w:id="73" w:name="_Toc25105"/>
      <w:r>
        <w:rPr>
          <w:rFonts w:hint="eastAsia" w:ascii="宋体" w:hAnsi="宋体" w:eastAsia="宋体" w:cs="宋体"/>
          <w:b/>
          <w:bCs/>
          <w:color w:val="auto"/>
          <w:kern w:val="0"/>
          <w:sz w:val="21"/>
          <w:szCs w:val="21"/>
          <w:highlight w:val="none"/>
        </w:rPr>
        <w:t>一、征求意见范围：</w:t>
      </w:r>
      <w:bookmarkEnd w:id="69"/>
      <w:bookmarkEnd w:id="70"/>
      <w:bookmarkEnd w:id="71"/>
      <w:bookmarkEnd w:id="72"/>
      <w:bookmarkEnd w:id="73"/>
    </w:p>
    <w:p w14:paraId="7F74AD8D">
      <w:pPr>
        <w:widowControl/>
        <w:shd w:val="clear" w:color="auto" w:fill="auto"/>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1.是否出现明显的倾向性意见和特定的性能指标；</w:t>
      </w:r>
    </w:p>
    <w:p w14:paraId="28A83F18">
      <w:pPr>
        <w:widowControl/>
        <w:shd w:val="clear" w:color="auto" w:fill="auto"/>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2.投标供应商资格条件是否具有明显倾向性和歧视性；</w:t>
      </w:r>
    </w:p>
    <w:p w14:paraId="436B011D">
      <w:pPr>
        <w:widowControl/>
        <w:shd w:val="clear" w:color="auto" w:fill="auto"/>
        <w:spacing w:beforeLines="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3.影响温州市国有企业采购“公开、公平、公正”原则的其他情况。</w:t>
      </w:r>
    </w:p>
    <w:p w14:paraId="56C9B881">
      <w:pPr>
        <w:widowControl/>
        <w:shd w:val="clear" w:color="auto" w:fill="auto"/>
        <w:spacing w:beforeLines="0" w:line="360" w:lineRule="auto"/>
        <w:jc w:val="left"/>
        <w:outlineLvl w:val="9"/>
        <w:rPr>
          <w:rFonts w:hint="eastAsia" w:ascii="宋体" w:hAnsi="宋体" w:eastAsia="宋体" w:cs="宋体"/>
          <w:color w:val="auto"/>
          <w:kern w:val="0"/>
          <w:sz w:val="21"/>
          <w:szCs w:val="21"/>
          <w:highlight w:val="none"/>
        </w:rPr>
      </w:pPr>
      <w:bookmarkStart w:id="74" w:name="_Toc9624"/>
      <w:bookmarkStart w:id="75" w:name="_Toc4647"/>
      <w:bookmarkStart w:id="76" w:name="_Toc25225"/>
      <w:bookmarkStart w:id="77" w:name="_Toc27947"/>
      <w:bookmarkStart w:id="78" w:name="_Toc27232"/>
      <w:r>
        <w:rPr>
          <w:rFonts w:hint="eastAsia" w:ascii="宋体" w:hAnsi="宋体" w:eastAsia="宋体" w:cs="宋体"/>
          <w:b/>
          <w:bCs/>
          <w:color w:val="auto"/>
          <w:kern w:val="0"/>
          <w:sz w:val="21"/>
          <w:szCs w:val="21"/>
          <w:highlight w:val="none"/>
        </w:rPr>
        <w:t>二、征求意见的回复：</w:t>
      </w:r>
      <w:bookmarkEnd w:id="74"/>
      <w:bookmarkEnd w:id="75"/>
      <w:bookmarkEnd w:id="76"/>
      <w:bookmarkEnd w:id="77"/>
      <w:bookmarkEnd w:id="78"/>
    </w:p>
    <w:p w14:paraId="3767A8F5">
      <w:pPr>
        <w:pStyle w:val="37"/>
        <w:shd w:val="clear" w:color="auto" w:fill="auto"/>
        <w:spacing w:before="0" w:beforeLines="0" w:beforeAutospacing="0" w:after="0" w:afterAutospacing="0" w:line="360" w:lineRule="auto"/>
        <w:ind w:firstLine="420" w:firstLineChars="200"/>
        <w:rPr>
          <w:rFonts w:hint="eastAsia" w:ascii="宋体" w:hAnsi="宋体" w:eastAsia="宋体" w:cs="宋体"/>
          <w:color w:val="auto"/>
          <w:kern w:val="0"/>
          <w:sz w:val="21"/>
          <w:szCs w:val="21"/>
          <w:highlight w:val="none"/>
          <w:lang w:val="en-US" w:eastAsia="zh-CN" w:bidi="ar-SA"/>
        </w:rPr>
      </w:pPr>
      <w:bookmarkStart w:id="79" w:name="_Toc21948"/>
      <w:r>
        <w:rPr>
          <w:rFonts w:hint="eastAsia" w:ascii="宋体" w:hAnsi="宋体" w:eastAsia="宋体" w:cs="宋体"/>
          <w:color w:val="auto"/>
          <w:kern w:val="0"/>
          <w:sz w:val="21"/>
          <w:szCs w:val="21"/>
          <w:highlight w:val="none"/>
          <w:lang w:val="en-US" w:eastAsia="zh-CN" w:bidi="ar-SA"/>
        </w:rPr>
        <w:t>各投标供应商及专家提出修改理由和建议的，请于2025年</w:t>
      </w:r>
      <w:r>
        <w:rPr>
          <w:rFonts w:hint="eastAsia" w:ascii="宋体" w:hAnsi="宋体" w:eastAsia="宋体" w:cs="宋体"/>
          <w:color w:val="auto"/>
          <w:kern w:val="0"/>
          <w:sz w:val="21"/>
          <w:szCs w:val="21"/>
          <w:highlight w:val="none"/>
          <w:u w:val="single"/>
          <w:lang w:val="en-US" w:eastAsia="zh-CN" w:bidi="ar-SA"/>
        </w:rPr>
        <w:t>12</w:t>
      </w:r>
      <w:r>
        <w:rPr>
          <w:rFonts w:hint="eastAsia" w:ascii="宋体" w:hAnsi="宋体" w:eastAsia="宋体" w:cs="宋体"/>
          <w:color w:val="auto"/>
          <w:kern w:val="0"/>
          <w:sz w:val="21"/>
          <w:szCs w:val="21"/>
          <w:highlight w:val="none"/>
          <w:lang w:val="en-US" w:eastAsia="zh-CN" w:bidi="ar-SA"/>
        </w:rPr>
        <w:t>月</w:t>
      </w:r>
      <w:r>
        <w:rPr>
          <w:rFonts w:hint="eastAsia" w:hAnsi="宋体" w:cs="宋体"/>
          <w:color w:val="auto"/>
          <w:kern w:val="0"/>
          <w:sz w:val="21"/>
          <w:szCs w:val="21"/>
          <w:highlight w:val="none"/>
          <w:u w:val="single"/>
          <w:lang w:val="en-US" w:eastAsia="zh-CN" w:bidi="ar-SA"/>
        </w:rPr>
        <w:t>15</w:t>
      </w:r>
      <w:r>
        <w:rPr>
          <w:rFonts w:hint="eastAsia" w:ascii="宋体" w:hAnsi="宋体" w:eastAsia="宋体" w:cs="宋体"/>
          <w:color w:val="auto"/>
          <w:kern w:val="0"/>
          <w:sz w:val="21"/>
          <w:szCs w:val="21"/>
          <w:highlight w:val="none"/>
          <w:lang w:val="en-US" w:eastAsia="zh-CN" w:bidi="ar-SA"/>
        </w:rPr>
        <w:t>日17:00前（节假日除外）将书面材料签字（盖章）并密封后送至</w:t>
      </w:r>
      <w:r>
        <w:rPr>
          <w:rFonts w:hint="eastAsia" w:hAnsi="宋体" w:cs="宋体"/>
          <w:color w:val="auto"/>
          <w:kern w:val="0"/>
          <w:sz w:val="21"/>
          <w:szCs w:val="21"/>
          <w:highlight w:val="none"/>
          <w:lang w:val="en-US" w:eastAsia="zh-CN" w:bidi="ar-SA"/>
        </w:rPr>
        <w:t>温州市鹿城区牛山商务大厦1201室</w:t>
      </w:r>
      <w:r>
        <w:rPr>
          <w:rFonts w:hint="eastAsia" w:ascii="宋体" w:hAnsi="宋体" w:eastAsia="宋体" w:cs="宋体"/>
          <w:color w:val="auto"/>
          <w:kern w:val="0"/>
          <w:sz w:val="21"/>
          <w:szCs w:val="21"/>
          <w:highlight w:val="none"/>
          <w:lang w:val="en-US" w:eastAsia="zh-CN" w:bidi="ar-SA"/>
        </w:rPr>
        <w:t>，或先将扫描件及电子版发送至邮箱</w:t>
      </w:r>
      <w:r>
        <w:rPr>
          <w:rFonts w:hint="eastAsia" w:hAnsi="宋体" w:cs="宋体"/>
          <w:color w:val="auto"/>
          <w:kern w:val="0"/>
          <w:sz w:val="21"/>
          <w:szCs w:val="21"/>
          <w:highlight w:val="none"/>
          <w:lang w:val="en-US" w:eastAsia="zh-CN" w:bidi="ar-SA"/>
        </w:rPr>
        <w:t>781043757@qq.com</w:t>
      </w:r>
      <w:r>
        <w:rPr>
          <w:rFonts w:hint="eastAsia" w:ascii="宋体" w:hAnsi="宋体" w:eastAsia="宋体" w:cs="宋体"/>
          <w:color w:val="auto"/>
          <w:kern w:val="0"/>
          <w:sz w:val="21"/>
          <w:szCs w:val="21"/>
          <w:highlight w:val="none"/>
          <w:lang w:val="en-US" w:eastAsia="zh-CN" w:bidi="ar-SA"/>
        </w:rPr>
        <w:t>，并同时将该原件书面寄至</w:t>
      </w:r>
      <w:r>
        <w:rPr>
          <w:rFonts w:hint="eastAsia" w:hAnsi="宋体" w:cs="宋体"/>
          <w:color w:val="auto"/>
          <w:kern w:val="0"/>
          <w:sz w:val="21"/>
          <w:szCs w:val="21"/>
          <w:highlight w:val="none"/>
          <w:lang w:val="en-US" w:eastAsia="zh-CN" w:bidi="ar-SA"/>
        </w:rPr>
        <w:t>温州市鹿城区牛山商务大厦1201室</w:t>
      </w:r>
      <w:r>
        <w:rPr>
          <w:rFonts w:hint="eastAsia" w:ascii="宋体" w:hAnsi="宋体" w:eastAsia="宋体" w:cs="宋体"/>
          <w:color w:val="auto"/>
          <w:kern w:val="0"/>
          <w:sz w:val="21"/>
          <w:szCs w:val="21"/>
          <w:highlight w:val="none"/>
          <w:lang w:val="en-US" w:eastAsia="zh-CN" w:bidi="ar-SA"/>
        </w:rPr>
        <w:t>。</w:t>
      </w:r>
    </w:p>
    <w:p w14:paraId="7D2FB409">
      <w:pPr>
        <w:shd w:val="clear" w:color="auto" w:fill="auto"/>
        <w:autoSpaceDE w:val="0"/>
        <w:autoSpaceDN w:val="0"/>
        <w:spacing w:beforeLines="0" w:line="360" w:lineRule="auto"/>
        <w:ind w:left="61" w:right="60" w:firstLine="44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w:t>
      </w:r>
      <w:r>
        <w:rPr>
          <w:rFonts w:hint="eastAsia" w:ascii="宋体" w:hAnsi="宋体" w:cs="宋体"/>
          <w:color w:val="auto"/>
          <w:kern w:val="0"/>
          <w:sz w:val="21"/>
          <w:szCs w:val="21"/>
          <w:highlight w:val="none"/>
          <w:lang w:val="en-US" w:eastAsia="zh-CN" w:bidi="ar-SA"/>
        </w:rPr>
        <w:t>朱雪洋、叶财、范少亮、唐虹波</w:t>
      </w:r>
      <w:r>
        <w:rPr>
          <w:rFonts w:hint="eastAsia" w:ascii="宋体" w:hAnsi="宋体" w:eastAsia="宋体" w:cs="宋体"/>
          <w:color w:val="auto"/>
          <w:kern w:val="0"/>
          <w:sz w:val="21"/>
          <w:szCs w:val="21"/>
          <w:highlight w:val="none"/>
          <w:lang w:val="zh-CN" w:eastAsia="zh-CN" w:bidi="ar-SA"/>
        </w:rPr>
        <w:t xml:space="preserve">  电话：</w:t>
      </w:r>
      <w:r>
        <w:rPr>
          <w:rFonts w:hint="eastAsia" w:ascii="宋体" w:hAnsi="宋体" w:cs="宋体"/>
          <w:color w:val="auto"/>
          <w:kern w:val="0"/>
          <w:sz w:val="21"/>
          <w:szCs w:val="21"/>
          <w:highlight w:val="none"/>
          <w:lang w:val="zh-CN" w:eastAsia="zh-CN" w:bidi="ar-SA"/>
        </w:rPr>
        <w:t>18892604170</w:t>
      </w:r>
      <w:r>
        <w:rPr>
          <w:rFonts w:hint="eastAsia" w:ascii="宋体" w:hAnsi="宋体" w:eastAsia="宋体" w:cs="宋体"/>
          <w:color w:val="auto"/>
          <w:kern w:val="0"/>
          <w:sz w:val="21"/>
          <w:szCs w:val="21"/>
          <w:highlight w:val="none"/>
          <w:lang w:val="en-US" w:eastAsia="zh-CN" w:bidi="ar-SA"/>
        </w:rPr>
        <w:t>。对逾期送达的意见、建议书恕不接受。</w:t>
      </w:r>
    </w:p>
    <w:p w14:paraId="4E12E3A3">
      <w:pPr>
        <w:widowControl/>
        <w:numPr>
          <w:ilvl w:val="0"/>
          <w:numId w:val="0"/>
        </w:numPr>
        <w:shd w:val="clear" w:color="auto" w:fill="auto"/>
        <w:spacing w:beforeLines="0" w:line="360" w:lineRule="auto"/>
        <w:jc w:val="left"/>
        <w:outlineLvl w:val="9"/>
        <w:rPr>
          <w:rFonts w:hint="eastAsia" w:ascii="宋体" w:hAnsi="宋体" w:eastAsia="宋体" w:cs="宋体"/>
          <w:b/>
          <w:color w:val="auto"/>
          <w:kern w:val="0"/>
          <w:sz w:val="21"/>
          <w:szCs w:val="21"/>
          <w:highlight w:val="none"/>
        </w:rPr>
      </w:pPr>
      <w:bookmarkStart w:id="80" w:name="_Toc3991"/>
      <w:bookmarkStart w:id="81" w:name="_Toc24064"/>
      <w:bookmarkStart w:id="82" w:name="_Toc679"/>
      <w:bookmarkStart w:id="83" w:name="_Toc11157"/>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附本项目采购文件</w:t>
      </w:r>
      <w:bookmarkEnd w:id="79"/>
      <w:bookmarkEnd w:id="80"/>
      <w:bookmarkEnd w:id="81"/>
      <w:bookmarkEnd w:id="82"/>
      <w:bookmarkEnd w:id="83"/>
    </w:p>
    <w:p w14:paraId="0FD6AB6B">
      <w:pPr>
        <w:pStyle w:val="2"/>
        <w:numPr>
          <w:ilvl w:val="0"/>
          <w:numId w:val="0"/>
        </w:numPr>
        <w:spacing w:beforeLines="0" w:after="0" w:line="360" w:lineRule="auto"/>
        <w:ind w:firstLine="0" w:firstLineChars="0"/>
        <w:rPr>
          <w:rFonts w:hint="eastAsia" w:ascii="宋体" w:hAnsi="宋体" w:eastAsia="宋体" w:cs="宋体"/>
          <w:color w:val="auto"/>
          <w:sz w:val="21"/>
          <w:szCs w:val="21"/>
          <w:highlight w:val="none"/>
        </w:rPr>
      </w:pPr>
    </w:p>
    <w:p w14:paraId="19E23F5B">
      <w:pPr>
        <w:spacing w:beforeLines="0" w:line="360" w:lineRule="auto"/>
        <w:ind w:firstLine="399" w:firstLineChars="19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温州交运集团工程运输有限公司</w:t>
      </w:r>
    </w:p>
    <w:p w14:paraId="49D2B6A9">
      <w:pPr>
        <w:spacing w:beforeLines="0" w:line="360" w:lineRule="auto"/>
        <w:ind w:firstLine="399" w:firstLineChars="190"/>
        <w:jc w:val="righ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中冠工程管理咨询有限公司</w:t>
      </w:r>
    </w:p>
    <w:p w14:paraId="5790CF23">
      <w:pPr>
        <w:spacing w:beforeLines="0" w:line="360" w:lineRule="auto"/>
        <w:ind w:firstLine="399" w:firstLineChars="19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日</w:t>
      </w:r>
    </w:p>
    <w:p w14:paraId="2E356CF4">
      <w:pPr>
        <w:pageBreakBefore w:val="0"/>
        <w:numPr>
          <w:ilvl w:val="0"/>
          <w:numId w:val="1"/>
        </w:numPr>
        <w:spacing w:before="0" w:beforeLines="0" w:line="360" w:lineRule="auto"/>
        <w:ind w:leftChars="0" w:firstLine="608" w:firstLineChars="190"/>
        <w:jc w:val="center"/>
        <w:outlineLvl w:val="0"/>
        <w:rPr>
          <w:rFonts w:hint="eastAsia" w:ascii="宋体" w:hAnsi="宋体" w:eastAsia="宋体" w:cs="宋体"/>
          <w:b/>
          <w:bCs/>
          <w:color w:val="auto"/>
          <w:sz w:val="32"/>
          <w:szCs w:val="18"/>
          <w:highlight w:val="none"/>
        </w:rPr>
      </w:pPr>
      <w:r>
        <w:rPr>
          <w:rFonts w:hint="eastAsia" w:ascii="宋体" w:hAnsi="宋体" w:eastAsia="宋体" w:cs="宋体"/>
          <w:color w:val="auto"/>
          <w:sz w:val="32"/>
          <w:szCs w:val="32"/>
          <w:highlight w:val="none"/>
        </w:rPr>
        <w:br w:type="page"/>
      </w:r>
      <w:bookmarkEnd w:id="17"/>
      <w:bookmarkStart w:id="84" w:name="_Toc420938301"/>
      <w:bookmarkStart w:id="85" w:name="_Toc30701"/>
      <w:bookmarkStart w:id="86" w:name="_Toc10131"/>
      <w:bookmarkStart w:id="87" w:name="_Toc4736"/>
      <w:bookmarkStart w:id="88" w:name="_Toc10023"/>
      <w:bookmarkStart w:id="89" w:name="_Toc230773775"/>
      <w:r>
        <w:rPr>
          <w:rFonts w:hint="eastAsia" w:ascii="宋体" w:hAnsi="宋体" w:eastAsia="宋体" w:cs="宋体"/>
          <w:b/>
          <w:bCs/>
          <w:color w:val="auto"/>
          <w:sz w:val="32"/>
          <w:szCs w:val="18"/>
          <w:highlight w:val="none"/>
        </w:rPr>
        <w:t>投标供应商须知及前附表</w:t>
      </w:r>
      <w:bookmarkEnd w:id="84"/>
      <w:bookmarkEnd w:id="85"/>
      <w:bookmarkEnd w:id="86"/>
      <w:bookmarkEnd w:id="87"/>
      <w:bookmarkEnd w:id="88"/>
    </w:p>
    <w:p w14:paraId="20D64DDA">
      <w:pPr>
        <w:pStyle w:val="2"/>
        <w:numPr>
          <w:ilvl w:val="0"/>
          <w:numId w:val="0"/>
        </w:numPr>
        <w:spacing w:beforeLines="0" w:after="0" w:line="360" w:lineRule="auto"/>
        <w:jc w:val="center"/>
        <w:rPr>
          <w:rFonts w:hint="eastAsia"/>
          <w:color w:val="auto"/>
          <w:highlight w:val="none"/>
        </w:rPr>
      </w:pPr>
      <w:r>
        <w:rPr>
          <w:rFonts w:hint="eastAsia" w:ascii="宋体" w:hAnsi="宋体" w:eastAsia="宋体" w:cs="宋体"/>
          <w:b/>
          <w:bCs/>
          <w:color w:val="auto"/>
          <w:sz w:val="32"/>
          <w:szCs w:val="18"/>
          <w:highlight w:val="none"/>
        </w:rPr>
        <w:t>投标供应商须知前附表</w:t>
      </w:r>
    </w:p>
    <w:tbl>
      <w:tblPr>
        <w:tblStyle w:val="41"/>
        <w:tblpPr w:leftFromText="180" w:rightFromText="180" w:vertAnchor="text" w:horzAnchor="page" w:tblpX="1262" w:tblpY="733"/>
        <w:tblOverlap w:val="never"/>
        <w:tblW w:w="0" w:type="auto"/>
        <w:tblInd w:w="0" w:type="dxa"/>
        <w:tblLayout w:type="fixed"/>
        <w:tblCellMar>
          <w:top w:w="0" w:type="dxa"/>
          <w:left w:w="108" w:type="dxa"/>
          <w:bottom w:w="0" w:type="dxa"/>
          <w:right w:w="108" w:type="dxa"/>
        </w:tblCellMar>
      </w:tblPr>
      <w:tblGrid>
        <w:gridCol w:w="1048"/>
        <w:gridCol w:w="1687"/>
        <w:gridCol w:w="7119"/>
      </w:tblGrid>
      <w:tr w14:paraId="040A3F64">
        <w:tblPrEx>
          <w:tblCellMar>
            <w:top w:w="0" w:type="dxa"/>
            <w:left w:w="108" w:type="dxa"/>
            <w:bottom w:w="0" w:type="dxa"/>
            <w:right w:w="108" w:type="dxa"/>
          </w:tblCellMar>
        </w:tblPrEx>
        <w:trPr>
          <w:trHeight w:val="567" w:hRule="exac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BAE95D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623FAD8">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条款名称</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42F4DC4F">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编列内容</w:t>
            </w:r>
          </w:p>
        </w:tc>
      </w:tr>
      <w:tr w14:paraId="1286EAD9">
        <w:tblPrEx>
          <w:tblCellMar>
            <w:top w:w="0" w:type="dxa"/>
            <w:left w:w="108" w:type="dxa"/>
            <w:bottom w:w="0" w:type="dxa"/>
            <w:right w:w="108" w:type="dxa"/>
          </w:tblCellMar>
        </w:tblPrEx>
        <w:trPr>
          <w:trHeight w:val="92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0C9537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F4FAAF9">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采购人</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3E4A4412">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采购人：温州交运集团工程运输有限公司</w:t>
            </w:r>
          </w:p>
          <w:p w14:paraId="24A7A015">
            <w:pPr>
              <w:keepNext w:val="0"/>
              <w:keepLines w:val="0"/>
              <w:widowControl/>
              <w:suppressLineNumbers w:val="0"/>
              <w:tabs>
                <w:tab w:val="left" w:pos="420"/>
              </w:tabs>
              <w:spacing w:before="0" w:beforeLines="0" w:beforeAutospacing="0" w:after="0" w:afterAutospacing="0" w:line="400" w:lineRule="exac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地址：浙江省温州市鹿城区牛山北路52</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号</w:t>
            </w:r>
          </w:p>
          <w:p w14:paraId="016CDD53">
            <w:pPr>
              <w:keepNext w:val="0"/>
              <w:keepLines w:val="0"/>
              <w:widowControl/>
              <w:suppressLineNumbers w:val="0"/>
              <w:tabs>
                <w:tab w:val="left" w:pos="420"/>
              </w:tabs>
              <w:spacing w:before="0" w:beforeLines="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 系 人：</w:t>
            </w:r>
            <w:r>
              <w:rPr>
                <w:rFonts w:hint="eastAsia" w:ascii="宋体" w:hAnsi="宋体" w:cs="宋体"/>
                <w:color w:val="auto"/>
                <w:kern w:val="0"/>
                <w:sz w:val="21"/>
                <w:szCs w:val="21"/>
                <w:highlight w:val="none"/>
                <w:lang w:val="en-US" w:eastAsia="zh-CN"/>
              </w:rPr>
              <w:t>蔡经理、黄</w:t>
            </w:r>
            <w:r>
              <w:rPr>
                <w:rFonts w:hint="eastAsia" w:ascii="宋体" w:hAnsi="宋体" w:eastAsia="宋体" w:cs="宋体"/>
                <w:color w:val="auto"/>
                <w:kern w:val="0"/>
                <w:sz w:val="21"/>
                <w:szCs w:val="21"/>
                <w:highlight w:val="none"/>
                <w:lang w:eastAsia="zh-CN"/>
              </w:rPr>
              <w:t>先生</w:t>
            </w:r>
          </w:p>
          <w:p w14:paraId="6BEF806E">
            <w:pPr>
              <w:keepNext w:val="0"/>
              <w:keepLines w:val="0"/>
              <w:widowControl/>
              <w:suppressLineNumbers w:val="0"/>
              <w:tabs>
                <w:tab w:val="left" w:pos="420"/>
              </w:tabs>
              <w:spacing w:before="0" w:beforeLines="0" w:beforeAutospacing="0" w:after="0" w:afterAutospacing="0" w:line="400" w:lineRule="exact"/>
              <w:ind w:left="0" w:right="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联系电话：13857777860</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13505770557</w:t>
            </w:r>
          </w:p>
        </w:tc>
      </w:tr>
      <w:tr w14:paraId="5B93EA21">
        <w:tblPrEx>
          <w:tblCellMar>
            <w:top w:w="0" w:type="dxa"/>
            <w:left w:w="108" w:type="dxa"/>
            <w:bottom w:w="0" w:type="dxa"/>
            <w:right w:w="108" w:type="dxa"/>
          </w:tblCellMar>
        </w:tblPrEx>
        <w:trPr>
          <w:trHeight w:val="123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468793BE">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D6455EB">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采购代理机构</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1296D27">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采购代理机构名称：</w:t>
            </w:r>
            <w:r>
              <w:rPr>
                <w:rFonts w:hint="eastAsia" w:ascii="宋体" w:hAnsi="宋体" w:cs="宋体"/>
                <w:color w:val="auto"/>
                <w:kern w:val="0"/>
                <w:sz w:val="21"/>
                <w:szCs w:val="21"/>
                <w:highlight w:val="none"/>
                <w:lang w:eastAsia="zh-CN"/>
              </w:rPr>
              <w:t>中冠工程管理咨询有限公司</w:t>
            </w:r>
          </w:p>
          <w:p w14:paraId="41F44ADF">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温州市鹿城区牛山商务大厦1201室</w:t>
            </w:r>
          </w:p>
          <w:p w14:paraId="4BE3460E">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eastAsia="zh-CN"/>
              </w:rPr>
              <w:t>朱雪洋、叶财、范少亮、唐虹波</w:t>
            </w:r>
          </w:p>
          <w:p w14:paraId="7ECFD279">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eastAsia="zh-CN"/>
              </w:rPr>
              <w:t>18892604170</w:t>
            </w:r>
          </w:p>
        </w:tc>
      </w:tr>
      <w:tr w14:paraId="1766E4B6">
        <w:tblPrEx>
          <w:tblCellMar>
            <w:top w:w="0" w:type="dxa"/>
            <w:left w:w="108" w:type="dxa"/>
            <w:bottom w:w="0" w:type="dxa"/>
            <w:right w:w="108" w:type="dxa"/>
          </w:tblCellMar>
        </w:tblPrEx>
        <w:trPr>
          <w:trHeight w:val="75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66461051">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45EF2C6">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0968332E">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cs="宋体"/>
                <w:bCs/>
                <w:color w:val="auto"/>
                <w:kern w:val="0"/>
                <w:sz w:val="21"/>
                <w:szCs w:val="21"/>
                <w:highlight w:val="none"/>
                <w:lang w:val="en-US" w:eastAsia="zh-CN"/>
              </w:rPr>
              <w:t>温州交运集团工程运输有限公司温州市温州湾新区瓯飞消纳场分项外包项目</w:t>
            </w:r>
          </w:p>
        </w:tc>
      </w:tr>
      <w:tr w14:paraId="7323D637">
        <w:tblPrEx>
          <w:tblCellMar>
            <w:top w:w="0" w:type="dxa"/>
            <w:left w:w="108" w:type="dxa"/>
            <w:bottom w:w="0" w:type="dxa"/>
            <w:right w:w="108" w:type="dxa"/>
          </w:tblCellMar>
        </w:tblPrEx>
        <w:trPr>
          <w:trHeight w:val="75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3CB7201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F21174F">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采购内容</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991784E">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本项目为</w:t>
            </w:r>
            <w:r>
              <w:rPr>
                <w:rFonts w:hint="eastAsia" w:ascii="宋体" w:hAnsi="宋体" w:cs="宋体"/>
                <w:bCs/>
                <w:color w:val="auto"/>
                <w:kern w:val="0"/>
                <w:sz w:val="21"/>
                <w:szCs w:val="21"/>
                <w:highlight w:val="none"/>
                <w:lang w:val="en-US" w:eastAsia="zh-CN"/>
              </w:rPr>
              <w:t>温州交运集团工程运输有限公司温州市温州湾新区瓯飞消纳场分项外包项目</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预算金额：</w:t>
            </w:r>
            <w:r>
              <w:rPr>
                <w:rFonts w:hint="eastAsia" w:ascii="宋体" w:hAnsi="宋体" w:eastAsia="宋体" w:cs="宋体"/>
                <w:bCs/>
                <w:color w:val="auto"/>
                <w:kern w:val="0"/>
                <w:sz w:val="21"/>
                <w:szCs w:val="21"/>
                <w:highlight w:val="none"/>
                <w:lang w:eastAsia="zh-CN"/>
              </w:rPr>
              <w:t>人民币</w:t>
            </w:r>
            <w:r>
              <w:rPr>
                <w:rFonts w:hint="eastAsia" w:ascii="宋体" w:hAnsi="宋体" w:cs="宋体"/>
                <w:bCs/>
                <w:color w:val="auto"/>
                <w:kern w:val="0"/>
                <w:sz w:val="21"/>
                <w:szCs w:val="21"/>
                <w:highlight w:val="none"/>
                <w:lang w:val="en-US" w:eastAsia="zh-CN"/>
              </w:rPr>
              <w:t>378</w:t>
            </w:r>
            <w:r>
              <w:rPr>
                <w:rFonts w:hint="eastAsia" w:ascii="宋体" w:hAnsi="宋体" w:eastAsia="宋体" w:cs="宋体"/>
                <w:bCs/>
                <w:color w:val="auto"/>
                <w:kern w:val="0"/>
                <w:sz w:val="21"/>
                <w:szCs w:val="21"/>
                <w:highlight w:val="none"/>
                <w:lang w:eastAsia="zh-CN"/>
              </w:rPr>
              <w:t>万元整。具体采购内容及要求见采购文件相关部分。</w:t>
            </w:r>
          </w:p>
        </w:tc>
      </w:tr>
      <w:tr w14:paraId="4A531A98">
        <w:tblPrEx>
          <w:tblCellMar>
            <w:top w:w="0" w:type="dxa"/>
            <w:left w:w="108" w:type="dxa"/>
            <w:bottom w:w="0" w:type="dxa"/>
            <w:right w:w="108" w:type="dxa"/>
          </w:tblCellMar>
        </w:tblPrEx>
        <w:trPr>
          <w:trHeight w:val="87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1D5A23BB">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79D7C7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u w:val="single"/>
              </w:rPr>
              <w:t>▲投标供应商资格要求</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BCC6B55">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详见采购公告</w:t>
            </w:r>
          </w:p>
        </w:tc>
      </w:tr>
      <w:tr w14:paraId="31C33B48">
        <w:tblPrEx>
          <w:tblCellMar>
            <w:top w:w="0" w:type="dxa"/>
            <w:left w:w="108" w:type="dxa"/>
            <w:bottom w:w="0" w:type="dxa"/>
            <w:right w:w="108" w:type="dxa"/>
          </w:tblCellMar>
        </w:tblPrEx>
        <w:trPr>
          <w:trHeight w:val="73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3D06B916">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523DF1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是否接受联合体投标</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06F565A1">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sz w:val="21"/>
                <w:szCs w:val="21"/>
                <w:highlight w:val="none"/>
              </w:rPr>
              <w:sym w:font="Wingdings" w:char="F0FE"/>
            </w:r>
            <w:r>
              <w:rPr>
                <w:rFonts w:hint="eastAsia" w:ascii="宋体" w:hAnsi="宋体" w:eastAsia="宋体" w:cs="宋体"/>
                <w:color w:val="auto"/>
                <w:kern w:val="0"/>
                <w:sz w:val="21"/>
                <w:szCs w:val="21"/>
                <w:highlight w:val="none"/>
              </w:rPr>
              <w:t>不接受</w:t>
            </w:r>
          </w:p>
          <w:p w14:paraId="7E242FAF">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□接受</w:t>
            </w:r>
          </w:p>
        </w:tc>
      </w:tr>
      <w:tr w14:paraId="0EB53864">
        <w:tblPrEx>
          <w:tblCellMar>
            <w:top w:w="0" w:type="dxa"/>
            <w:left w:w="108" w:type="dxa"/>
            <w:bottom w:w="0" w:type="dxa"/>
            <w:right w:w="108" w:type="dxa"/>
          </w:tblCellMar>
        </w:tblPrEx>
        <w:trPr>
          <w:trHeight w:val="73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6948773A">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7C0F2F5">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踏勘现场</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0EBFEDAE">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w:t>
            </w:r>
          </w:p>
          <w:p w14:paraId="55DC3F43">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sz w:val="21"/>
                <w:szCs w:val="21"/>
                <w:highlight w:val="none"/>
              </w:rPr>
              <w:sym w:font="Wingdings" w:char="F0FE"/>
            </w:r>
            <w:r>
              <w:rPr>
                <w:rFonts w:hint="eastAsia" w:ascii="宋体" w:hAnsi="宋体" w:eastAsia="宋体" w:cs="宋体"/>
                <w:color w:val="auto"/>
                <w:kern w:val="0"/>
                <w:sz w:val="21"/>
                <w:szCs w:val="21"/>
                <w:highlight w:val="none"/>
              </w:rPr>
              <w:t>不组织（投标供应商可自行联系业主前往现场踏勘）</w:t>
            </w:r>
          </w:p>
        </w:tc>
      </w:tr>
      <w:tr w14:paraId="1CD66A0C">
        <w:tblPrEx>
          <w:tblCellMar>
            <w:top w:w="0" w:type="dxa"/>
            <w:left w:w="108" w:type="dxa"/>
            <w:bottom w:w="0" w:type="dxa"/>
            <w:right w:w="108" w:type="dxa"/>
          </w:tblCellMar>
        </w:tblPrEx>
        <w:trPr>
          <w:trHeight w:val="73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08891D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762B26">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投标预备会</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39CDC3BD">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□召开</w:t>
            </w:r>
          </w:p>
          <w:p w14:paraId="0DEE042F">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sz w:val="21"/>
                <w:szCs w:val="21"/>
                <w:highlight w:val="none"/>
              </w:rPr>
              <w:sym w:font="Wingdings" w:char="F0FE"/>
            </w:r>
            <w:r>
              <w:rPr>
                <w:rFonts w:hint="eastAsia" w:ascii="宋体" w:hAnsi="宋体" w:eastAsia="宋体" w:cs="宋体"/>
                <w:color w:val="auto"/>
                <w:kern w:val="0"/>
                <w:sz w:val="21"/>
                <w:szCs w:val="21"/>
                <w:highlight w:val="none"/>
              </w:rPr>
              <w:t>不召开</w:t>
            </w:r>
          </w:p>
        </w:tc>
      </w:tr>
      <w:tr w14:paraId="6855750A">
        <w:tblPrEx>
          <w:tblCellMar>
            <w:top w:w="0" w:type="dxa"/>
            <w:left w:w="108" w:type="dxa"/>
            <w:bottom w:w="0" w:type="dxa"/>
            <w:right w:w="108" w:type="dxa"/>
          </w:tblCellMar>
        </w:tblPrEx>
        <w:trPr>
          <w:trHeight w:val="54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193B4EE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2F9B415">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投标截止时间</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3E23732C">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pacing w:val="6"/>
                <w:sz w:val="21"/>
                <w:szCs w:val="21"/>
                <w:highlight w:val="none"/>
                <w:lang w:val="en-US" w:eastAsia="zh-CN"/>
              </w:rPr>
              <w:t>详见采购公告</w:t>
            </w:r>
          </w:p>
        </w:tc>
      </w:tr>
      <w:tr w14:paraId="46CA8580">
        <w:tblPrEx>
          <w:tblCellMar>
            <w:top w:w="0" w:type="dxa"/>
            <w:left w:w="108" w:type="dxa"/>
            <w:bottom w:w="0" w:type="dxa"/>
            <w:right w:w="108" w:type="dxa"/>
          </w:tblCellMar>
        </w:tblPrEx>
        <w:trPr>
          <w:trHeight w:val="73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18C0855F">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10</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025E50F">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分包</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7B77055C">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□允许</w:t>
            </w:r>
          </w:p>
          <w:p w14:paraId="041BBE54">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sz w:val="21"/>
                <w:szCs w:val="21"/>
                <w:highlight w:val="none"/>
              </w:rPr>
              <w:sym w:font="Wingdings" w:char="F0FE"/>
            </w:r>
            <w:r>
              <w:rPr>
                <w:rFonts w:hint="eastAsia" w:ascii="宋体" w:hAnsi="宋体" w:eastAsia="宋体" w:cs="宋体"/>
                <w:color w:val="auto"/>
                <w:kern w:val="0"/>
                <w:sz w:val="21"/>
                <w:szCs w:val="21"/>
                <w:highlight w:val="none"/>
              </w:rPr>
              <w:t>不允许</w:t>
            </w:r>
          </w:p>
        </w:tc>
      </w:tr>
      <w:tr w14:paraId="6317BA1A">
        <w:tblPrEx>
          <w:tblCellMar>
            <w:top w:w="0" w:type="dxa"/>
            <w:left w:w="108" w:type="dxa"/>
            <w:bottom w:w="0" w:type="dxa"/>
            <w:right w:w="108" w:type="dxa"/>
          </w:tblCellMar>
        </w:tblPrEx>
        <w:trPr>
          <w:trHeight w:val="108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B2EC55B">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4D2A27C">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偏离</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76D0CD2">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14:paraId="211B913D">
        <w:tblPrEx>
          <w:tblCellMar>
            <w:top w:w="0" w:type="dxa"/>
            <w:left w:w="108" w:type="dxa"/>
            <w:bottom w:w="0" w:type="dxa"/>
            <w:right w:w="108" w:type="dxa"/>
          </w:tblCellMar>
        </w:tblPrEx>
        <w:trPr>
          <w:trHeight w:val="500" w:hRule="exac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F8F2D30">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9E34A2C">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投标有效期</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6F2F01B">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投标文件自投标截止时间起生效，有效期90天。</w:t>
            </w:r>
          </w:p>
        </w:tc>
      </w:tr>
      <w:tr w14:paraId="017BBFDA">
        <w:tblPrEx>
          <w:tblCellMar>
            <w:top w:w="0" w:type="dxa"/>
            <w:left w:w="108" w:type="dxa"/>
            <w:bottom w:w="0" w:type="dxa"/>
            <w:right w:w="108" w:type="dxa"/>
          </w:tblCellMar>
        </w:tblPrEx>
        <w:trPr>
          <w:trHeight w:val="448"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3E5DD2C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881955D">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u w:val="single"/>
              </w:rPr>
              <w:t>▲投标保证金</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182692D8">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spacing w:val="6"/>
                <w:sz w:val="21"/>
                <w:szCs w:val="21"/>
                <w:highlight w:val="none"/>
                <w:lang w:val="en-US" w:eastAsia="zh-CN"/>
              </w:rPr>
              <w:t>详见采购公告</w:t>
            </w:r>
          </w:p>
        </w:tc>
      </w:tr>
      <w:tr w14:paraId="611E2419">
        <w:tblPrEx>
          <w:tblCellMar>
            <w:top w:w="0" w:type="dxa"/>
            <w:left w:w="108" w:type="dxa"/>
            <w:bottom w:w="0" w:type="dxa"/>
            <w:right w:w="108" w:type="dxa"/>
          </w:tblCellMar>
        </w:tblPrEx>
        <w:trPr>
          <w:trHeight w:val="57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254C9DA8">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93DCE45">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投标文件份数</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70265139">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投标文件技术资信标及商务（报价）标各一式</w:t>
            </w:r>
            <w:r>
              <w:rPr>
                <w:rFonts w:hint="eastAsia" w:ascii="宋体" w:hAnsi="宋体" w:cs="宋体"/>
                <w:color w:val="auto"/>
                <w:kern w:val="0"/>
                <w:sz w:val="21"/>
                <w:szCs w:val="21"/>
                <w:highlight w:val="none"/>
                <w:lang w:val="en-US" w:eastAsia="zh-CN"/>
              </w:rPr>
              <w:t>伍</w:t>
            </w:r>
            <w:r>
              <w:rPr>
                <w:rFonts w:hint="eastAsia" w:ascii="宋体" w:hAnsi="宋体" w:eastAsia="宋体" w:cs="宋体"/>
                <w:color w:val="auto"/>
                <w:kern w:val="0"/>
                <w:sz w:val="21"/>
                <w:szCs w:val="21"/>
                <w:highlight w:val="none"/>
              </w:rPr>
              <w:t>份，正本一份，副本</w:t>
            </w:r>
            <w:r>
              <w:rPr>
                <w:rFonts w:hint="eastAsia" w:ascii="宋体" w:hAnsi="宋体" w:cs="宋体"/>
                <w:color w:val="auto"/>
                <w:kern w:val="0"/>
                <w:sz w:val="21"/>
                <w:szCs w:val="21"/>
                <w:highlight w:val="none"/>
                <w:lang w:val="en-US" w:eastAsia="zh-CN"/>
              </w:rPr>
              <w:t>肆</w:t>
            </w:r>
            <w:r>
              <w:rPr>
                <w:rFonts w:hint="eastAsia" w:ascii="宋体" w:hAnsi="宋体" w:eastAsia="宋体" w:cs="宋体"/>
                <w:color w:val="auto"/>
                <w:kern w:val="0"/>
                <w:sz w:val="21"/>
                <w:szCs w:val="21"/>
                <w:highlight w:val="none"/>
              </w:rPr>
              <w:t>份。</w:t>
            </w:r>
            <w:r>
              <w:rPr>
                <w:rFonts w:hint="eastAsia" w:ascii="宋体" w:hAnsi="宋体" w:eastAsia="宋体" w:cs="宋体"/>
                <w:b/>
                <w:bCs/>
                <w:color w:val="auto"/>
                <w:kern w:val="0"/>
                <w:sz w:val="21"/>
                <w:szCs w:val="21"/>
                <w:highlight w:val="none"/>
                <w:lang w:val="en-US" w:eastAsia="zh-CN" w:bidi="ar"/>
              </w:rPr>
              <w:t>电子投标文件一份，电子投标文件为技术资信标、商务（报价）标正本签字盖章后的PDF格式扫描文件存入U盘。电子投标文件密封于“商务（报价）标”密封袋内。</w:t>
            </w:r>
            <w:r>
              <w:rPr>
                <w:rFonts w:hint="eastAsia" w:ascii="宋体" w:hAnsi="宋体" w:eastAsia="宋体" w:cs="宋体"/>
                <w:b w:val="0"/>
                <w:color w:val="auto"/>
                <w:kern w:val="2"/>
                <w:sz w:val="21"/>
                <w:szCs w:val="21"/>
                <w:highlight w:val="none"/>
                <w:lang w:val="en-US" w:eastAsia="zh-CN" w:bidi="ar-SA"/>
              </w:rPr>
              <w:t>视频演示文件（如有）应当密封包装，并在包装上注明投标项目编号、项目名称、投标单位名称等并加盖公章。没有密封包装或者逾期送达至采购代理机构的视频演示文件将不予接收。</w:t>
            </w:r>
          </w:p>
        </w:tc>
      </w:tr>
      <w:tr w14:paraId="55750FED">
        <w:tblPrEx>
          <w:tblCellMar>
            <w:top w:w="0" w:type="dxa"/>
            <w:left w:w="108" w:type="dxa"/>
            <w:bottom w:w="0" w:type="dxa"/>
            <w:right w:w="108" w:type="dxa"/>
          </w:tblCellMar>
        </w:tblPrEx>
        <w:trPr>
          <w:trHeight w:val="79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74971BA9">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37E7BD2">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包装要求</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21D898F0">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投标文件技术资信标、商务（报价）标分别密封于包封袋中，并在封套的封口处加盖投标供应商单位公章，并由法定代表人或其授权代表签字。</w:t>
            </w:r>
          </w:p>
        </w:tc>
      </w:tr>
      <w:tr w14:paraId="36EB5E9E">
        <w:tblPrEx>
          <w:tblCellMar>
            <w:top w:w="0" w:type="dxa"/>
            <w:left w:w="108" w:type="dxa"/>
            <w:bottom w:w="0" w:type="dxa"/>
            <w:right w:w="108" w:type="dxa"/>
          </w:tblCellMar>
        </w:tblPrEx>
        <w:trPr>
          <w:trHeight w:val="9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45480251">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35B686">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投标文件递交</w:t>
            </w:r>
            <w:r>
              <w:rPr>
                <w:rFonts w:hint="eastAsia" w:ascii="宋体" w:hAnsi="宋体" w:eastAsia="宋体" w:cs="宋体"/>
                <w:b/>
                <w:bCs/>
                <w:color w:val="auto"/>
                <w:kern w:val="0"/>
                <w:sz w:val="21"/>
                <w:szCs w:val="21"/>
                <w:highlight w:val="none"/>
              </w:rPr>
              <w:t>地点</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8F8B65B">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
                <w:bCs/>
                <w:color w:val="auto"/>
                <w:spacing w:val="6"/>
                <w:sz w:val="21"/>
                <w:szCs w:val="21"/>
                <w:highlight w:val="none"/>
                <w:lang w:val="en-US" w:eastAsia="zh-CN"/>
              </w:rPr>
              <w:t>详见采购公告</w:t>
            </w:r>
          </w:p>
        </w:tc>
      </w:tr>
      <w:tr w14:paraId="2E407D93">
        <w:tblPrEx>
          <w:tblCellMar>
            <w:top w:w="0" w:type="dxa"/>
            <w:left w:w="108" w:type="dxa"/>
            <w:bottom w:w="0" w:type="dxa"/>
            <w:right w:w="108" w:type="dxa"/>
          </w:tblCellMar>
        </w:tblPrEx>
        <w:trPr>
          <w:trHeight w:val="795"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122FD3D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17</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D2492F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开标时间和地点</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1DB57C09">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开标时间：同投标截止时间</w:t>
            </w:r>
          </w:p>
          <w:p w14:paraId="0AAC9B12">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开标地点：</w:t>
            </w:r>
            <w:r>
              <w:rPr>
                <w:rFonts w:hint="eastAsia" w:ascii="宋体" w:hAnsi="宋体" w:eastAsia="宋体" w:cs="宋体"/>
                <w:b/>
                <w:bCs/>
                <w:color w:val="auto"/>
                <w:spacing w:val="6"/>
                <w:sz w:val="21"/>
                <w:szCs w:val="21"/>
                <w:highlight w:val="none"/>
                <w:lang w:val="en-US" w:eastAsia="zh-CN"/>
              </w:rPr>
              <w:t>详见采购公告</w:t>
            </w:r>
            <w:r>
              <w:rPr>
                <w:rFonts w:hint="eastAsia" w:ascii="宋体" w:hAnsi="宋体" w:eastAsia="宋体" w:cs="宋体"/>
                <w:color w:val="auto"/>
                <w:sz w:val="21"/>
                <w:szCs w:val="21"/>
                <w:highlight w:val="none"/>
                <w:shd w:val="clear" w:color="auto" w:fill="FFFFFF"/>
              </w:rPr>
              <w:t>。</w:t>
            </w:r>
          </w:p>
        </w:tc>
      </w:tr>
      <w:tr w14:paraId="23383871">
        <w:tblPrEx>
          <w:tblCellMar>
            <w:top w:w="0" w:type="dxa"/>
            <w:left w:w="108" w:type="dxa"/>
            <w:bottom w:w="0" w:type="dxa"/>
            <w:right w:w="108" w:type="dxa"/>
          </w:tblCellMar>
        </w:tblPrEx>
        <w:trPr>
          <w:trHeight w:val="784"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70D41A81">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18</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400210C">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开评标程序</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65A6D5EC">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rPr>
              <w:sym w:font="Wingdings" w:char="F0E8"/>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符合性审查</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提交评审报告</w:t>
            </w:r>
          </w:p>
        </w:tc>
      </w:tr>
      <w:tr w14:paraId="7A3E277F">
        <w:tblPrEx>
          <w:tblCellMar>
            <w:top w:w="0" w:type="dxa"/>
            <w:left w:w="108" w:type="dxa"/>
            <w:bottom w:w="0" w:type="dxa"/>
            <w:right w:w="108" w:type="dxa"/>
          </w:tblCellMar>
        </w:tblPrEx>
        <w:trPr>
          <w:trHeight w:val="1324" w:hRule="exac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564E5E25">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19</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1E735B3">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评标委员会的组建</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252BA5F3">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评标委员会成员由采购人代表和有关技术、经济等方面的专家组成，成员人数为</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人及以上单数，其中技术、经济类专家不得少于总人数的2/3，除采购人代表外的专家将在</w:t>
            </w:r>
            <w:r>
              <w:rPr>
                <w:rFonts w:hint="eastAsia" w:ascii="宋体" w:hAnsi="宋体" w:cs="宋体"/>
                <w:bCs/>
                <w:color w:val="auto"/>
                <w:sz w:val="21"/>
                <w:szCs w:val="21"/>
                <w:highlight w:val="none"/>
                <w:lang w:val="en-US" w:eastAsia="zh-CN"/>
              </w:rPr>
              <w:t>符合规定的</w:t>
            </w:r>
            <w:r>
              <w:rPr>
                <w:rFonts w:hint="eastAsia" w:ascii="宋体" w:hAnsi="宋体" w:eastAsia="宋体" w:cs="宋体"/>
                <w:bCs/>
                <w:color w:val="auto"/>
                <w:sz w:val="21"/>
                <w:szCs w:val="21"/>
                <w:highlight w:val="none"/>
              </w:rPr>
              <w:t>评标专家库中随机抽取产生。</w:t>
            </w:r>
          </w:p>
        </w:tc>
      </w:tr>
      <w:tr w14:paraId="40E49AD9">
        <w:tblPrEx>
          <w:tblCellMar>
            <w:top w:w="0" w:type="dxa"/>
            <w:left w:w="108" w:type="dxa"/>
            <w:bottom w:w="0" w:type="dxa"/>
            <w:right w:w="108" w:type="dxa"/>
          </w:tblCellMar>
        </w:tblPrEx>
        <w:trPr>
          <w:trHeight w:val="96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798B7321">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20</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FD310A9">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注意事项</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26B21DEB">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1）本采购文件中如有前后不一致的，一律以本“投标供应商须知前附表”为准；</w:t>
            </w:r>
            <w:r>
              <w:rPr>
                <w:rFonts w:hint="eastAsia" w:ascii="宋体" w:hAnsi="宋体" w:eastAsia="宋体" w:cs="宋体"/>
                <w:color w:val="auto"/>
                <w:kern w:val="2"/>
                <w:sz w:val="21"/>
                <w:szCs w:val="21"/>
                <w:highlight w:val="none"/>
                <w:lang w:val="en-US" w:eastAsia="zh-CN" w:bidi="ar"/>
              </w:rPr>
              <w:t>按本款前述约定仍不能形成结论的，由采购人负责解释。</w:t>
            </w:r>
            <w:r>
              <w:rPr>
                <w:rFonts w:hint="eastAsia" w:ascii="宋体" w:hAnsi="宋体" w:eastAsia="宋体" w:cs="宋体"/>
                <w:color w:val="auto"/>
                <w:kern w:val="0"/>
                <w:sz w:val="21"/>
                <w:szCs w:val="21"/>
                <w:highlight w:val="none"/>
                <w:lang w:val="en-US" w:eastAsia="zh-CN"/>
              </w:rPr>
              <w:t>构成采购文件的各部分中出现的措辞“招标文件”和“采购文件”互为解释。</w:t>
            </w:r>
          </w:p>
          <w:p w14:paraId="38CFE756">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2）本采购文件涉及的时间为“北京时间”；</w:t>
            </w:r>
          </w:p>
          <w:p w14:paraId="20C8B50A">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3）本采购文件涉及的货币为“人民币”；</w:t>
            </w:r>
          </w:p>
          <w:p w14:paraId="4725DC6B">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4）采购文件资料费用：根据省物价局有关文件规定，采购代理机构将收取本项目采购文件的编制费500元/份。</w:t>
            </w:r>
          </w:p>
          <w:p w14:paraId="3061E8BE">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5）采购监督管理部门：温州市交通运输集团有限公司纪检监察室</w:t>
            </w:r>
          </w:p>
          <w:p w14:paraId="464D1966">
            <w:pPr>
              <w:keepNext w:val="0"/>
              <w:keepLines w:val="0"/>
              <w:suppressLineNumbers w:val="0"/>
              <w:spacing w:before="0" w:beforeLines="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联系人：杨女士  联系电话：0577-55587663</w:t>
            </w:r>
          </w:p>
        </w:tc>
      </w:tr>
      <w:tr w14:paraId="5C7B07A0">
        <w:tblPrEx>
          <w:tblCellMar>
            <w:top w:w="0" w:type="dxa"/>
            <w:left w:w="108" w:type="dxa"/>
            <w:bottom w:w="0" w:type="dxa"/>
            <w:right w:w="108" w:type="dxa"/>
          </w:tblCellMar>
        </w:tblPrEx>
        <w:trPr>
          <w:trHeight w:val="96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2A1160B7">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39BD95E">
            <w:pPr>
              <w:keepNext w:val="0"/>
              <w:keepLines w:val="0"/>
              <w:widowControl w:val="0"/>
              <w:suppressLineNumbers w:val="0"/>
              <w:snapToGrid/>
              <w:spacing w:before="0" w:beforeLines="0" w:beforeAutospacing="0" w:after="0" w:afterAutospacing="0" w:line="40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2"/>
                <w:sz w:val="21"/>
                <w:szCs w:val="21"/>
                <w:highlight w:val="none"/>
                <w:lang w:val="en-US" w:eastAsia="zh-CN" w:bidi="ar"/>
              </w:rPr>
              <w:t>质疑与投诉</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09779C08">
            <w:pPr>
              <w:keepNext w:val="0"/>
              <w:keepLines w:val="0"/>
              <w:widowControl w:val="0"/>
              <w:suppressLineNumbers w:val="0"/>
              <w:snapToGrid/>
              <w:spacing w:before="0" w:beforeLines="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1、投标供应商认为采购文件、采购过程、中标和成交结果使自己的合法权益受到损害的，可以在相关公告规定时间内以书面形式一次性向采购人或采购代理机构提出质疑。</w:t>
            </w:r>
          </w:p>
          <w:p w14:paraId="31376C5D">
            <w:pPr>
              <w:keepNext w:val="0"/>
              <w:keepLines w:val="0"/>
              <w:widowControl w:val="0"/>
              <w:suppressLineNumbers w:val="0"/>
              <w:snapToGrid/>
              <w:spacing w:before="0" w:beforeLines="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采购人或采购代理机构在收到投标供应商的书面质疑后七个工作日内作出答复，但答复的内容不得涉及商业秘密。质疑投标供应商对采购人或采购代理机构的答复不满意，可以在答复期满后十五个工作日内向采购人的采购监督管理部门投诉。</w:t>
            </w:r>
          </w:p>
          <w:p w14:paraId="600D9914">
            <w:pPr>
              <w:keepNext w:val="0"/>
              <w:keepLines w:val="0"/>
              <w:widowControl w:val="0"/>
              <w:suppressLineNumbers w:val="0"/>
              <w:snapToGrid/>
              <w:spacing w:before="0" w:beforeLines="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3、温州市交通运输集团有限公司负责对投标供应商反映的企业本部及所属企业在采购活动中出现的违法违规问题进行投诉回复。投标供应商认为温州市交通运输集团有限公司投诉回复处理结果不合法的，可以采购人或代理机构为对象依法向人民法院提起诉讼。</w:t>
            </w:r>
          </w:p>
        </w:tc>
      </w:tr>
      <w:tr w14:paraId="7837F916">
        <w:tblPrEx>
          <w:tblCellMar>
            <w:top w:w="0" w:type="dxa"/>
            <w:left w:w="108" w:type="dxa"/>
            <w:bottom w:w="0" w:type="dxa"/>
            <w:right w:w="108" w:type="dxa"/>
          </w:tblCellMar>
        </w:tblPrEx>
        <w:trPr>
          <w:trHeight w:val="96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6835C16D">
            <w:pPr>
              <w:keepNext w:val="0"/>
              <w:keepLines w:val="0"/>
              <w:suppressLineNumbers w:val="0"/>
              <w:spacing w:before="0" w:beforeLines="0" w:beforeAutospacing="0" w:after="0" w:afterAutospacing="0" w:line="400" w:lineRule="exact"/>
              <w:ind w:left="0" w:righ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AD67FF7">
            <w:pPr>
              <w:keepNext w:val="0"/>
              <w:keepLines w:val="0"/>
              <w:widowControl w:val="0"/>
              <w:suppressLineNumbers w:val="0"/>
              <w:snapToGrid/>
              <w:spacing w:before="0" w:beforeLines="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采购代理服务费</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1DE8A8A5">
            <w:pPr>
              <w:keepNext w:val="0"/>
              <w:keepLines w:val="0"/>
              <w:widowControl w:val="0"/>
              <w:suppressLineNumbers w:val="0"/>
              <w:spacing w:before="0" w:beforeLines="0" w:beforeAutospacing="0" w:after="0" w:afterAutospacing="0" w:line="400" w:lineRule="exact"/>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按人民币</w:t>
            </w:r>
            <w:r>
              <w:rPr>
                <w:rFonts w:hint="eastAsia" w:ascii="宋体" w:hAnsi="宋体" w:cs="宋体"/>
                <w:color w:val="auto"/>
                <w:kern w:val="2"/>
                <w:sz w:val="21"/>
                <w:szCs w:val="21"/>
                <w:highlight w:val="none"/>
                <w:lang w:val="en-US" w:eastAsia="zh-CN" w:bidi="ar"/>
              </w:rPr>
              <w:t>贰万零壹佰壹拾</w:t>
            </w:r>
            <w:r>
              <w:rPr>
                <w:rFonts w:hint="eastAsia" w:ascii="宋体" w:hAnsi="宋体" w:eastAsia="宋体" w:cs="宋体"/>
                <w:color w:val="auto"/>
                <w:kern w:val="2"/>
                <w:sz w:val="21"/>
                <w:szCs w:val="21"/>
                <w:highlight w:val="none"/>
                <w:lang w:val="en-US" w:eastAsia="zh-CN" w:bidi="ar"/>
              </w:rPr>
              <w:t>元整（</w:t>
            </w:r>
            <w:r>
              <w:rPr>
                <w:rFonts w:hint="eastAsia" w:ascii="宋体" w:hAnsi="宋体" w:cs="宋体"/>
                <w:color w:val="auto"/>
                <w:kern w:val="2"/>
                <w:sz w:val="21"/>
                <w:szCs w:val="21"/>
                <w:highlight w:val="none"/>
                <w:lang w:val="en-US" w:eastAsia="zh-CN" w:bidi="ar"/>
              </w:rPr>
              <w:t>¥20110</w:t>
            </w:r>
            <w:r>
              <w:rPr>
                <w:rFonts w:hint="eastAsia" w:ascii="宋体" w:hAnsi="宋体" w:eastAsia="宋体" w:cs="宋体"/>
                <w:color w:val="auto"/>
                <w:kern w:val="2"/>
                <w:sz w:val="21"/>
                <w:szCs w:val="21"/>
                <w:highlight w:val="none"/>
                <w:lang w:val="en-US" w:eastAsia="zh-CN" w:bidi="ar"/>
              </w:rPr>
              <w:t>）标准收取，由中标供应商在领取中标通知书前支付给采购代理机构，采购代理服务费包含在投标报价中。</w:t>
            </w:r>
          </w:p>
          <w:p w14:paraId="27421084">
            <w:pPr>
              <w:keepNext w:val="0"/>
              <w:keepLines w:val="0"/>
              <w:widowControl w:val="0"/>
              <w:suppressLineNumbers w:val="0"/>
              <w:spacing w:before="0" w:beforeLines="0" w:beforeAutospacing="0" w:after="0" w:afterAutospacing="0" w:line="400" w:lineRule="exact"/>
              <w:ind w:left="0" w:leftChars="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代理服务费汇入以下帐号：</w:t>
            </w:r>
          </w:p>
          <w:p w14:paraId="5CC6AC12">
            <w:pPr>
              <w:keepNext w:val="0"/>
              <w:keepLines w:val="0"/>
              <w:widowControl w:val="0"/>
              <w:suppressLineNumbers w:val="0"/>
              <w:spacing w:before="0" w:beforeLines="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名称：</w:t>
            </w:r>
            <w:r>
              <w:rPr>
                <w:rFonts w:hint="eastAsia" w:ascii="宋体" w:hAnsi="宋体" w:cs="宋体"/>
                <w:color w:val="auto"/>
                <w:kern w:val="2"/>
                <w:sz w:val="21"/>
                <w:szCs w:val="21"/>
                <w:highlight w:val="none"/>
                <w:lang w:val="en-US" w:eastAsia="zh-CN" w:bidi="ar"/>
              </w:rPr>
              <w:t>中冠工程管理咨询有限公司</w:t>
            </w:r>
          </w:p>
          <w:p w14:paraId="3BAE09B3">
            <w:pPr>
              <w:keepNext w:val="0"/>
              <w:keepLines w:val="0"/>
              <w:widowControl w:val="0"/>
              <w:suppressLineNumbers w:val="0"/>
              <w:spacing w:before="0" w:beforeLines="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账号：</w:t>
            </w:r>
            <w:r>
              <w:rPr>
                <w:rFonts w:hint="eastAsia" w:ascii="宋体" w:hAnsi="宋体" w:cs="宋体"/>
                <w:color w:val="auto"/>
                <w:kern w:val="2"/>
                <w:sz w:val="21"/>
                <w:szCs w:val="21"/>
                <w:highlight w:val="none"/>
                <w:lang w:val="en-US" w:eastAsia="zh-CN" w:bidi="ar"/>
              </w:rPr>
              <w:t>396174745263</w:t>
            </w:r>
          </w:p>
          <w:p w14:paraId="069FECA0">
            <w:pPr>
              <w:keepNext w:val="0"/>
              <w:keepLines w:val="0"/>
              <w:widowControl w:val="0"/>
              <w:suppressLineNumbers w:val="0"/>
              <w:spacing w:before="0" w:beforeLines="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开户行：</w:t>
            </w:r>
            <w:r>
              <w:rPr>
                <w:rFonts w:hint="eastAsia" w:ascii="宋体" w:hAnsi="宋体" w:cs="宋体"/>
                <w:color w:val="auto"/>
                <w:kern w:val="2"/>
                <w:sz w:val="21"/>
                <w:szCs w:val="21"/>
                <w:highlight w:val="none"/>
                <w:lang w:val="en-US" w:eastAsia="zh-CN" w:bidi="ar"/>
              </w:rPr>
              <w:t>中国银行宁波市分行</w:t>
            </w:r>
          </w:p>
          <w:p w14:paraId="3F6C5E10">
            <w:pPr>
              <w:keepNext w:val="0"/>
              <w:keepLines w:val="0"/>
              <w:widowControl w:val="0"/>
              <w:suppressLineNumbers w:val="0"/>
              <w:spacing w:before="0" w:beforeLines="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采购代理服务费可以是现金、支票或汇票。</w:t>
            </w:r>
          </w:p>
        </w:tc>
      </w:tr>
      <w:tr w14:paraId="255CEBB5">
        <w:tblPrEx>
          <w:tblCellMar>
            <w:top w:w="0" w:type="dxa"/>
            <w:left w:w="108" w:type="dxa"/>
            <w:bottom w:w="0" w:type="dxa"/>
            <w:right w:w="108" w:type="dxa"/>
          </w:tblCellMar>
        </w:tblPrEx>
        <w:trPr>
          <w:trHeight w:val="960" w:hRule="atLeast"/>
          <w:tblHeader/>
        </w:trPr>
        <w:tc>
          <w:tcPr>
            <w:tcW w:w="1048" w:type="dxa"/>
            <w:tcBorders>
              <w:top w:val="single" w:color="auto" w:sz="4" w:space="0"/>
              <w:left w:val="single" w:color="auto" w:sz="4" w:space="0"/>
              <w:bottom w:val="single" w:color="auto" w:sz="4" w:space="0"/>
              <w:right w:val="single" w:color="auto" w:sz="4" w:space="0"/>
            </w:tcBorders>
            <w:noWrap w:val="0"/>
            <w:vAlign w:val="center"/>
          </w:tcPr>
          <w:p w14:paraId="6E1D14FC">
            <w:pPr>
              <w:keepNext w:val="0"/>
              <w:keepLines w:val="0"/>
              <w:suppressLineNumbers w:val="0"/>
              <w:snapToGrid/>
              <w:spacing w:before="0" w:beforeLines="0" w:beforeAutospacing="0" w:after="0" w:afterAutospacing="0" w:line="400" w:lineRule="exact"/>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D2766F7">
            <w:pPr>
              <w:keepNext w:val="0"/>
              <w:keepLines w:val="0"/>
              <w:suppressLineNumbers w:val="0"/>
              <w:shd w:val="clear" w:color="auto" w:fill="auto"/>
              <w:snapToGrid/>
              <w:spacing w:before="0" w:beforeLines="0" w:beforeAutospacing="0" w:after="0" w:afterAutospacing="0" w:line="400" w:lineRule="exact"/>
              <w:ind w:left="0" w:right="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解释顺序</w:t>
            </w:r>
          </w:p>
        </w:tc>
        <w:tc>
          <w:tcPr>
            <w:tcW w:w="7119" w:type="dxa"/>
            <w:tcBorders>
              <w:top w:val="single" w:color="auto" w:sz="4" w:space="0"/>
              <w:left w:val="single" w:color="auto" w:sz="4" w:space="0"/>
              <w:bottom w:val="single" w:color="auto" w:sz="4" w:space="0"/>
              <w:right w:val="single" w:color="auto" w:sz="4" w:space="0"/>
            </w:tcBorders>
            <w:noWrap w:val="0"/>
            <w:vAlign w:val="center"/>
          </w:tcPr>
          <w:p w14:paraId="461C7BB8">
            <w:pPr>
              <w:keepNext w:val="0"/>
              <w:keepLines w:val="0"/>
              <w:suppressLineNumbers w:val="0"/>
              <w:shd w:val="clear" w:color="auto" w:fill="auto"/>
              <w:snapToGrid/>
              <w:spacing w:before="0" w:beforeLines="0" w:beforeAutospacing="0" w:after="0" w:afterAutospacing="0" w:line="400" w:lineRule="exact"/>
              <w:ind w:left="0" w:right="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（1）发布采购公告的媒介网站供下载的采购文件与纸质采购文件不一致的，以上传至网站的采购文件为准。</w:t>
            </w:r>
          </w:p>
          <w:p w14:paraId="0837387D">
            <w:pPr>
              <w:keepNext w:val="0"/>
              <w:keepLines w:val="0"/>
              <w:suppressLineNumbers w:val="0"/>
              <w:shd w:val="clear" w:color="auto" w:fill="auto"/>
              <w:snapToGrid/>
              <w:spacing w:before="0" w:beforeLines="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2）构成本采购文件的各个组成文件应互为解释，互为说明；如有不明确或不一致，构成合同文件组成内容的，以承销协议约定内容为准，且以承销协议约定的合同文件优先顺序解释；在采购投标阶段，按采购公告、</w:t>
            </w:r>
            <w:r>
              <w:rPr>
                <w:rFonts w:hint="eastAsia" w:ascii="宋体" w:hAnsi="宋体" w:eastAsia="宋体" w:cs="宋体"/>
                <w:color w:val="auto"/>
                <w:kern w:val="2"/>
                <w:sz w:val="21"/>
                <w:szCs w:val="21"/>
                <w:highlight w:val="none"/>
                <w:lang w:eastAsia="zh-CN" w:bidi="ar"/>
              </w:rPr>
              <w:t>投标供应商</w:t>
            </w:r>
            <w:r>
              <w:rPr>
                <w:rFonts w:hint="eastAsia" w:ascii="宋体" w:hAnsi="宋体" w:eastAsia="宋体" w:cs="宋体"/>
                <w:color w:val="auto"/>
                <w:kern w:val="2"/>
                <w:sz w:val="21"/>
                <w:szCs w:val="21"/>
                <w:highlight w:val="none"/>
                <w:lang w:bidi="ar"/>
              </w:rPr>
              <w:t>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14:paraId="24E4A8CD">
      <w:pPr>
        <w:pStyle w:val="3"/>
        <w:spacing w:beforeLines="0" w:after="0" w:line="360" w:lineRule="auto"/>
        <w:jc w:val="center"/>
        <w:rPr>
          <w:rFonts w:hint="eastAsia" w:ascii="宋体" w:hAnsi="宋体" w:eastAsia="宋体" w:cs="宋体"/>
          <w:color w:val="auto"/>
          <w:highlight w:val="none"/>
        </w:rPr>
      </w:pPr>
    </w:p>
    <w:p w14:paraId="3EC76B4D">
      <w:pPr>
        <w:pStyle w:val="3"/>
        <w:spacing w:beforeLines="0" w:after="0" w:line="360" w:lineRule="auto"/>
        <w:rPr>
          <w:rFonts w:hint="eastAsia" w:ascii="宋体" w:hAnsi="宋体" w:eastAsia="宋体" w:cs="宋体"/>
          <w:color w:val="auto"/>
          <w:sz w:val="28"/>
          <w:szCs w:val="28"/>
          <w:highlight w:val="none"/>
        </w:rPr>
      </w:pPr>
    </w:p>
    <w:p w14:paraId="41540779">
      <w:pPr>
        <w:pStyle w:val="6"/>
        <w:spacing w:before="0" w:beforeLines="0" w:after="0" w:line="360" w:lineRule="auto"/>
        <w:jc w:val="center"/>
        <w:rPr>
          <w:rFonts w:hint="eastAsia" w:ascii="宋体" w:hAnsi="宋体" w:eastAsia="宋体" w:cs="宋体"/>
          <w:color w:val="auto"/>
          <w:sz w:val="28"/>
          <w:szCs w:val="28"/>
          <w:highlight w:val="none"/>
        </w:rPr>
      </w:pPr>
      <w:bookmarkStart w:id="90" w:name="_Toc26226"/>
      <w:bookmarkStart w:id="91" w:name="_Toc5452"/>
      <w:bookmarkStart w:id="92" w:name="_Toc15320"/>
      <w:bookmarkStart w:id="93" w:name="_Toc27704"/>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一、说   明</w:t>
      </w:r>
      <w:bookmarkEnd w:id="89"/>
      <w:bookmarkEnd w:id="90"/>
      <w:bookmarkEnd w:id="91"/>
      <w:bookmarkEnd w:id="92"/>
      <w:bookmarkEnd w:id="93"/>
    </w:p>
    <w:p w14:paraId="3DEC3569">
      <w:pPr>
        <w:tabs>
          <w:tab w:val="left" w:pos="36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本次采购是按照</w:t>
      </w:r>
      <w:r>
        <w:rPr>
          <w:rFonts w:hint="eastAsia" w:ascii="宋体" w:hAnsi="宋体" w:eastAsia="宋体" w:cs="宋体"/>
          <w:color w:val="auto"/>
          <w:sz w:val="21"/>
          <w:szCs w:val="21"/>
          <w:highlight w:val="none"/>
          <w:lang w:eastAsia="zh-CN"/>
        </w:rPr>
        <w:t>《温州市市属国有企业采购管理办法》（温国资委【2024】51号）</w:t>
      </w:r>
      <w:r>
        <w:rPr>
          <w:rFonts w:hint="eastAsia" w:ascii="宋体" w:hAnsi="宋体" w:eastAsia="宋体" w:cs="宋体"/>
          <w:color w:val="auto"/>
          <w:sz w:val="21"/>
          <w:szCs w:val="21"/>
          <w:highlight w:val="none"/>
        </w:rPr>
        <w:t>等有关法律法规组织和实施的国企采购项目（非政府采购）。</w:t>
      </w:r>
      <w:r>
        <w:rPr>
          <w:rFonts w:hint="eastAsia" w:ascii="宋体" w:hAnsi="宋体" w:eastAsia="宋体" w:cs="宋体"/>
          <w:b/>
          <w:bCs/>
          <w:color w:val="auto"/>
          <w:sz w:val="21"/>
          <w:szCs w:val="21"/>
          <w:highlight w:val="none"/>
          <w:lang w:val="en-US" w:eastAsia="zh-CN"/>
        </w:rPr>
        <w:t>本采购文件未尽事宜遵循相关法律法规及规范性文件执行。</w:t>
      </w:r>
    </w:p>
    <w:p w14:paraId="2D71FDD3">
      <w:pPr>
        <w:tabs>
          <w:tab w:val="left" w:pos="360"/>
        </w:tabs>
        <w:spacing w:beforeLines="0" w:line="360" w:lineRule="auto"/>
        <w:ind w:left="663" w:hanging="632" w:hangingChars="3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pacing w:val="100"/>
          <w:sz w:val="21"/>
          <w:szCs w:val="21"/>
          <w:highlight w:val="none"/>
        </w:rPr>
        <w:t>．</w:t>
      </w:r>
      <w:r>
        <w:rPr>
          <w:rFonts w:hint="eastAsia" w:ascii="宋体" w:hAnsi="宋体" w:eastAsia="宋体" w:cs="宋体"/>
          <w:bCs/>
          <w:color w:val="auto"/>
          <w:sz w:val="21"/>
          <w:szCs w:val="21"/>
          <w:highlight w:val="none"/>
          <w:u w:val="single"/>
        </w:rPr>
        <w:t>▲</w:t>
      </w:r>
      <w:r>
        <w:rPr>
          <w:rFonts w:hint="eastAsia" w:ascii="宋体" w:hAnsi="宋体" w:eastAsia="宋体" w:cs="宋体"/>
          <w:b/>
          <w:color w:val="auto"/>
          <w:sz w:val="21"/>
          <w:szCs w:val="21"/>
          <w:highlight w:val="none"/>
          <w:u w:val="single"/>
        </w:rPr>
        <w:t>合格投标供应商</w:t>
      </w:r>
    </w:p>
    <w:p w14:paraId="28BD6108">
      <w:pPr>
        <w:widowControl/>
        <w:spacing w:beforeLines="0" w:line="360" w:lineRule="auto"/>
        <w:ind w:left="525" w:leftChars="250"/>
        <w:jc w:val="left"/>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合格投标供应商以本项目采购公告及投标供应商须知前附表为准。</w:t>
      </w:r>
    </w:p>
    <w:p w14:paraId="08CBAA00">
      <w:pPr>
        <w:widowControl/>
        <w:spacing w:beforeLines="0"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sz w:val="21"/>
          <w:szCs w:val="21"/>
          <w:highlight w:val="none"/>
        </w:rPr>
        <w:t>3.   投标供应商代表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同投标供应商代表</w:t>
      </w:r>
      <w:r>
        <w:rPr>
          <w:rFonts w:hint="eastAsia" w:ascii="宋体" w:hAnsi="宋体" w:eastAsia="宋体" w:cs="宋体"/>
          <w:b/>
          <w:color w:val="auto"/>
          <w:sz w:val="21"/>
          <w:szCs w:val="21"/>
          <w:highlight w:val="none"/>
          <w:lang w:eastAsia="zh-CN"/>
        </w:rPr>
        <w:t>）</w:t>
      </w:r>
    </w:p>
    <w:p w14:paraId="730893E3">
      <w:pPr>
        <w:widowControl/>
        <w:spacing w:beforeLines="0" w:line="360" w:lineRule="auto"/>
        <w:ind w:left="550" w:hanging="525" w:hanging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3.1  指全权代表投标供应商参加投标活动并签署投标文件的人。如果投标供应商代表不是法定代表人，须持有《法定代表人授权书》（见附件）。</w:t>
      </w:r>
    </w:p>
    <w:p w14:paraId="09ACEE9D">
      <w:pPr>
        <w:widowControl/>
        <w:spacing w:beforeLines="0" w:line="360" w:lineRule="auto"/>
        <w:ind w:left="552" w:hanging="527" w:hangingChars="250"/>
        <w:jc w:val="lef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4.   投标费用</w:t>
      </w:r>
    </w:p>
    <w:p w14:paraId="41A21497">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投标供应商应承担所有与准备和参加投标有关费用，不论投标的结果如何，采购人及采购代理机构（以下统称“采购单位”）均无义务和责任承担这些费用。</w:t>
      </w:r>
    </w:p>
    <w:p w14:paraId="0F8CAC17">
      <w:pPr>
        <w:pStyle w:val="6"/>
        <w:spacing w:before="0" w:beforeLines="0" w:after="0" w:line="360" w:lineRule="auto"/>
        <w:jc w:val="center"/>
        <w:rPr>
          <w:rFonts w:hint="eastAsia" w:ascii="宋体" w:hAnsi="宋体" w:eastAsia="宋体" w:cs="宋体"/>
          <w:color w:val="auto"/>
          <w:sz w:val="28"/>
          <w:szCs w:val="28"/>
          <w:highlight w:val="none"/>
        </w:rPr>
      </w:pPr>
      <w:bookmarkStart w:id="94" w:name="_Toc230773776"/>
      <w:bookmarkStart w:id="95" w:name="_Toc21456"/>
      <w:bookmarkStart w:id="96" w:name="_Toc16957"/>
      <w:bookmarkStart w:id="97" w:name="_Toc32606"/>
      <w:bookmarkStart w:id="98" w:name="_Toc6213"/>
      <w:r>
        <w:rPr>
          <w:rFonts w:hint="eastAsia" w:ascii="宋体" w:hAnsi="宋体" w:eastAsia="宋体" w:cs="宋体"/>
          <w:color w:val="auto"/>
          <w:sz w:val="28"/>
          <w:szCs w:val="28"/>
          <w:highlight w:val="none"/>
        </w:rPr>
        <w:t>二、</w:t>
      </w:r>
      <w:bookmarkEnd w:id="94"/>
      <w:r>
        <w:rPr>
          <w:rFonts w:hint="eastAsia" w:ascii="宋体" w:hAnsi="宋体" w:eastAsia="宋体" w:cs="宋体"/>
          <w:color w:val="auto"/>
          <w:sz w:val="28"/>
          <w:szCs w:val="28"/>
          <w:highlight w:val="none"/>
        </w:rPr>
        <w:t>采购文件</w:t>
      </w:r>
      <w:bookmarkEnd w:id="95"/>
      <w:bookmarkEnd w:id="96"/>
      <w:bookmarkEnd w:id="97"/>
      <w:bookmarkEnd w:id="98"/>
    </w:p>
    <w:p w14:paraId="134C28D4">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采购文件由采购文件目录所列内容及相关资料组成。</w:t>
      </w:r>
    </w:p>
    <w:p w14:paraId="58CFB735">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2.   </w:t>
      </w:r>
      <w:r>
        <w:rPr>
          <w:rFonts w:hint="eastAsia" w:ascii="宋体" w:hAnsi="宋体" w:eastAsia="宋体" w:cs="宋体"/>
          <w:b/>
          <w:bCs/>
          <w:color w:val="auto"/>
          <w:sz w:val="21"/>
          <w:szCs w:val="21"/>
          <w:highlight w:val="none"/>
        </w:rPr>
        <w:t>采购文件的澄清</w:t>
      </w:r>
    </w:p>
    <w:p w14:paraId="05CB7A52">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对采购文件如有疑点或未尽事宜要求澄清，或认为有必要与采购人或采购代理机构进行说明或交流，应于“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须知前附表”中规定的询疑截止时间之前，将书面材料（盖公章）递交或邮寄给采购人或采购代理机构，询疑截止期后的疑问将不予受理、答复。如果采购文件答疑期内未收到有关疑问，视为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14:paraId="758A806B">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
          <w:bCs/>
          <w:color w:val="auto"/>
          <w:sz w:val="21"/>
          <w:szCs w:val="21"/>
          <w:highlight w:val="none"/>
        </w:rPr>
        <w:t>采购文件的修改</w:t>
      </w:r>
    </w:p>
    <w:p w14:paraId="3A80E433">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在投标截止期三个工作日前，采购人无论是出于何种原因，均可对采购文件用补充文件的方式进行修改，并信息发布媒体上发布更正公告。该修改的内容为采购文件的组成部分。采购人可以视采购具体情况在采购文件要求提交截止时间三个工作日前，作出延长投标截止时间和开标时间的决定，并在指定信息发布媒体上发布变更公告，</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自行查看，未及时查看对</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造成影响的，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自行承担后果。</w:t>
      </w:r>
    </w:p>
    <w:p w14:paraId="6B982D9D">
      <w:pPr>
        <w:spacing w:beforeLines="0" w:line="360" w:lineRule="auto"/>
        <w:ind w:left="550" w:hanging="525" w:hangingChars="2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3.2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r>
        <w:rPr>
          <w:rFonts w:hint="eastAsia" w:ascii="宋体" w:hAnsi="宋体" w:eastAsia="宋体" w:cs="宋体"/>
          <w:color w:val="auto"/>
          <w:sz w:val="21"/>
          <w:szCs w:val="21"/>
          <w:highlight w:val="none"/>
          <w:lang w:val="en-US" w:eastAsia="zh-CN"/>
        </w:rPr>
        <w:t>。</w:t>
      </w:r>
    </w:p>
    <w:p w14:paraId="7F54FF2E">
      <w:pPr>
        <w:shd w:val="clear" w:color="auto" w:fill="auto"/>
        <w:spacing w:beforeLines="0" w:line="360" w:lineRule="auto"/>
        <w:ind w:left="550" w:hanging="525" w:hanging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p>
    <w:p w14:paraId="7155BD23">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在采购文件规定的答疑截止时间后，经采购人及采购机构同意购买采购文件的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不得对采购文件及其补充文件提出澄清答疑要求。</w:t>
      </w:r>
    </w:p>
    <w:p w14:paraId="7200FD0A">
      <w:pPr>
        <w:pStyle w:val="6"/>
        <w:spacing w:before="0" w:beforeLines="0" w:after="0" w:line="360" w:lineRule="auto"/>
        <w:jc w:val="center"/>
        <w:rPr>
          <w:rFonts w:hint="eastAsia" w:ascii="宋体" w:hAnsi="宋体" w:eastAsia="宋体" w:cs="宋体"/>
          <w:color w:val="auto"/>
          <w:sz w:val="28"/>
          <w:szCs w:val="28"/>
          <w:highlight w:val="none"/>
        </w:rPr>
      </w:pPr>
      <w:bookmarkStart w:id="99" w:name="_Toc15919"/>
      <w:bookmarkStart w:id="100" w:name="_Toc230773777"/>
      <w:bookmarkStart w:id="101" w:name="_Toc31976"/>
      <w:bookmarkStart w:id="102" w:name="_Toc25328"/>
      <w:bookmarkStart w:id="103" w:name="_Toc15301"/>
      <w:r>
        <w:rPr>
          <w:rFonts w:hint="eastAsia" w:ascii="宋体" w:hAnsi="宋体" w:eastAsia="宋体" w:cs="宋体"/>
          <w:color w:val="auto"/>
          <w:sz w:val="28"/>
          <w:szCs w:val="28"/>
          <w:highlight w:val="none"/>
        </w:rPr>
        <w:t>三、投标文件的编制</w:t>
      </w:r>
      <w:bookmarkEnd w:id="99"/>
      <w:bookmarkEnd w:id="100"/>
      <w:bookmarkEnd w:id="101"/>
      <w:bookmarkEnd w:id="102"/>
      <w:bookmarkEnd w:id="103"/>
    </w:p>
    <w:p w14:paraId="131F5DB4">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   投标供应商应认真阅读采购文件中所有事项、格式、条款和技术规范等。</w:t>
      </w:r>
      <w:r>
        <w:rPr>
          <w:rFonts w:hint="eastAsia" w:ascii="宋体" w:hAnsi="宋体" w:eastAsia="宋体" w:cs="宋体"/>
          <w:b/>
          <w:color w:val="auto"/>
          <w:sz w:val="21"/>
          <w:szCs w:val="21"/>
          <w:highlight w:val="none"/>
        </w:rPr>
        <w:t>投标供应商没有按照采购文件要求提交全部资料，或者没有对采购文件各个方面做出实质性响应，导致投标被拒绝的风险由投标供应商自行承担。</w:t>
      </w:r>
    </w:p>
    <w:p w14:paraId="5871A1DC">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
          <w:color w:val="auto"/>
          <w:sz w:val="21"/>
          <w:szCs w:val="21"/>
          <w:highlight w:val="none"/>
        </w:rPr>
        <w:t>投标供应商应保证所提供文件资料的真实性，所有文件资料必须是针对本次投标的。如发现投标供应商提供了虚假文件资料，其投标将被拒绝，并自行承担相应的法律责任。</w:t>
      </w:r>
    </w:p>
    <w:p w14:paraId="6CFE048D">
      <w:pPr>
        <w:spacing w:beforeLines="0" w:line="360" w:lineRule="auto"/>
        <w:ind w:left="552" w:hanging="527" w:hangingChars="25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 xml:space="preserve">3.   </w:t>
      </w:r>
      <w:r>
        <w:rPr>
          <w:rFonts w:hint="eastAsia" w:ascii="宋体" w:hAnsi="宋体" w:eastAsia="宋体" w:cs="宋体"/>
          <w:b/>
          <w:bCs/>
          <w:color w:val="auto"/>
          <w:sz w:val="21"/>
          <w:szCs w:val="21"/>
          <w:highlight w:val="none"/>
        </w:rPr>
        <w:t>投标文件的构成：</w:t>
      </w:r>
    </w:p>
    <w:p w14:paraId="538504C8">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投标文件由技术资信标和商务（报价）标两部分构成：</w:t>
      </w:r>
    </w:p>
    <w:p w14:paraId="0AF6517A">
      <w:pPr>
        <w:spacing w:beforeLines="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3.1.1</w:t>
      </w:r>
      <w:r>
        <w:rPr>
          <w:rFonts w:hint="eastAsia" w:ascii="宋体" w:hAnsi="宋体" w:eastAsia="宋体" w:cs="宋体"/>
          <w:b/>
          <w:color w:val="auto"/>
          <w:sz w:val="21"/>
          <w:szCs w:val="21"/>
          <w:highlight w:val="none"/>
        </w:rPr>
        <w:t>技术资信标</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167"/>
        <w:gridCol w:w="1410"/>
      </w:tblGrid>
      <w:tr w14:paraId="384F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0" w:type="dxa"/>
            <w:noWrap w:val="0"/>
            <w:vAlign w:val="center"/>
          </w:tcPr>
          <w:p w14:paraId="65746C5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67" w:type="dxa"/>
            <w:noWrap w:val="0"/>
            <w:vAlign w:val="center"/>
          </w:tcPr>
          <w:p w14:paraId="03B97E25">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410" w:type="dxa"/>
            <w:noWrap w:val="0"/>
            <w:vAlign w:val="center"/>
          </w:tcPr>
          <w:p w14:paraId="6E100A6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CBB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71268DBE">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67" w:type="dxa"/>
            <w:noWrap w:val="0"/>
            <w:vAlign w:val="center"/>
          </w:tcPr>
          <w:p w14:paraId="27C56CF4">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投标函</w:t>
            </w:r>
          </w:p>
        </w:tc>
        <w:tc>
          <w:tcPr>
            <w:tcW w:w="1410" w:type="dxa"/>
            <w:noWrap w:val="0"/>
            <w:vAlign w:val="center"/>
          </w:tcPr>
          <w:p w14:paraId="334FEBC9">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r w14:paraId="3162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244CF429">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67" w:type="dxa"/>
            <w:noWrap w:val="0"/>
            <w:vAlign w:val="center"/>
          </w:tcPr>
          <w:p w14:paraId="6B8DB8ED">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u w:val="single"/>
              </w:rPr>
              <w:t>▲</w:t>
            </w:r>
            <w:r>
              <w:rPr>
                <w:rFonts w:hint="eastAsia" w:ascii="宋体" w:hAnsi="宋体" w:eastAsia="宋体" w:cs="宋体"/>
                <w:b/>
                <w:color w:val="auto"/>
                <w:sz w:val="21"/>
                <w:szCs w:val="21"/>
                <w:highlight w:val="none"/>
                <w:u w:val="single"/>
              </w:rPr>
              <w:t>资格证明文件</w:t>
            </w:r>
            <w:r>
              <w:rPr>
                <w:rFonts w:hint="eastAsia" w:ascii="宋体" w:hAnsi="宋体" w:eastAsia="宋体" w:cs="宋体"/>
                <w:color w:val="auto"/>
                <w:sz w:val="21"/>
                <w:szCs w:val="21"/>
                <w:highlight w:val="none"/>
              </w:rPr>
              <w:t>：</w:t>
            </w:r>
          </w:p>
        </w:tc>
        <w:tc>
          <w:tcPr>
            <w:tcW w:w="1410" w:type="dxa"/>
            <w:noWrap w:val="0"/>
            <w:vAlign w:val="center"/>
          </w:tcPr>
          <w:p w14:paraId="4DE66A2D">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r w14:paraId="27DA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437DC69F">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67" w:type="dxa"/>
            <w:noWrap w:val="0"/>
            <w:vAlign w:val="center"/>
          </w:tcPr>
          <w:p w14:paraId="2C01D83C">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lang w:val="en-US" w:eastAsia="zh-CN"/>
              </w:rPr>
              <w:t>法定代表人身份证明或</w:t>
            </w:r>
            <w:r>
              <w:rPr>
                <w:rFonts w:hint="eastAsia" w:ascii="宋体" w:hAnsi="宋体" w:eastAsia="宋体" w:cs="宋体"/>
                <w:color w:val="auto"/>
                <w:sz w:val="21"/>
                <w:szCs w:val="21"/>
                <w:highlight w:val="none"/>
              </w:rPr>
              <w:t>法定代表人授权书</w:t>
            </w:r>
          </w:p>
        </w:tc>
        <w:tc>
          <w:tcPr>
            <w:tcW w:w="1410" w:type="dxa"/>
            <w:noWrap w:val="0"/>
            <w:vAlign w:val="center"/>
          </w:tcPr>
          <w:p w14:paraId="67958E3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2B6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3C9EF658">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67" w:type="dxa"/>
            <w:noWrap w:val="0"/>
            <w:vAlign w:val="center"/>
          </w:tcPr>
          <w:p w14:paraId="4F050B7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投标供应商有效营业执照副本</w:t>
            </w:r>
          </w:p>
        </w:tc>
        <w:tc>
          <w:tcPr>
            <w:tcW w:w="1410" w:type="dxa"/>
            <w:noWrap w:val="0"/>
            <w:vAlign w:val="center"/>
          </w:tcPr>
          <w:p w14:paraId="43D7E849">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3444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1CCAAE64">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167" w:type="dxa"/>
            <w:noWrap w:val="0"/>
            <w:vAlign w:val="center"/>
          </w:tcPr>
          <w:p w14:paraId="0061603E">
            <w:pPr>
              <w:keepNext w:val="0"/>
              <w:keepLines w:val="0"/>
              <w:pageBreakBefore w:val="0"/>
              <w:widowControl/>
              <w:suppressLineNumbers w:val="0"/>
              <w:tabs>
                <w:tab w:val="left" w:pos="420"/>
              </w:tabs>
              <w:kinsoku/>
              <w:wordWrap/>
              <w:overflowPunct/>
              <w:topLinePunct w:val="0"/>
              <w:autoSpaceDE/>
              <w:autoSpaceDN/>
              <w:bidi w:val="0"/>
              <w:adjustRightInd/>
              <w:snapToGrid/>
              <w:spacing w:before="0" w:beforeLines="0" w:beforeAutospacing="0" w:after="0" w:afterAutospacing="0" w:line="400" w:lineRule="exact"/>
              <w:ind w:left="0" w:right="60" w:firstLine="0" w:firstLineChars="0"/>
              <w:jc w:val="lef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须具备</w:t>
            </w:r>
            <w:r>
              <w:rPr>
                <w:rFonts w:hint="eastAsia" w:ascii="宋体" w:hAnsi="宋体" w:eastAsia="宋体" w:cs="宋体"/>
                <w:color w:val="auto"/>
                <w:kern w:val="0"/>
                <w:sz w:val="21"/>
                <w:szCs w:val="21"/>
                <w:highlight w:val="none"/>
                <w:lang w:val="en-US" w:eastAsia="zh-CN"/>
              </w:rPr>
              <w:t>地基基础工程专业承包三级及以上资质</w:t>
            </w:r>
          </w:p>
        </w:tc>
        <w:tc>
          <w:tcPr>
            <w:tcW w:w="1410" w:type="dxa"/>
            <w:noWrap w:val="0"/>
            <w:vAlign w:val="center"/>
          </w:tcPr>
          <w:p w14:paraId="16D5F2DB">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1D44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64A2AE98">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167" w:type="dxa"/>
            <w:noWrap w:val="0"/>
            <w:vAlign w:val="center"/>
          </w:tcPr>
          <w:p w14:paraId="4C21797C">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Cs/>
                <w:color w:val="auto"/>
                <w:sz w:val="21"/>
                <w:szCs w:val="21"/>
                <w:highlight w:val="none"/>
              </w:rPr>
              <w:t>供应商“信用中国”(www.creditchina.gov.cn)；“中国政府采购网”（http://www.ccgp.gov.cn/）信用记录网页截图（采购公告发布之日至投标截止时间前）</w:t>
            </w:r>
          </w:p>
        </w:tc>
        <w:tc>
          <w:tcPr>
            <w:tcW w:w="1410" w:type="dxa"/>
            <w:noWrap w:val="0"/>
            <w:vAlign w:val="center"/>
          </w:tcPr>
          <w:p w14:paraId="7672C6C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2A28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69CE4B0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167" w:type="dxa"/>
            <w:noWrap w:val="0"/>
            <w:vAlign w:val="center"/>
          </w:tcPr>
          <w:p w14:paraId="2BCA4E5F">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Cs/>
                <w:color w:val="auto"/>
                <w:sz w:val="21"/>
                <w:szCs w:val="21"/>
                <w:highlight w:val="none"/>
              </w:rPr>
              <w:t>关于符合</w:t>
            </w:r>
            <w:r>
              <w:rPr>
                <w:rFonts w:hint="eastAsia" w:ascii="宋体" w:hAnsi="宋体" w:eastAsia="宋体" w:cs="宋体"/>
                <w:bCs/>
                <w:color w:val="auto"/>
                <w:sz w:val="21"/>
                <w:szCs w:val="21"/>
                <w:highlight w:val="none"/>
                <w:lang w:eastAsia="zh-CN"/>
              </w:rPr>
              <w:t>《温州市市属国有企业采购管理办法》</w:t>
            </w:r>
            <w:r>
              <w:rPr>
                <w:rFonts w:hint="eastAsia" w:ascii="宋体" w:hAnsi="宋体" w:eastAsia="宋体" w:cs="宋体"/>
                <w:bCs/>
                <w:color w:val="auto"/>
                <w:sz w:val="21"/>
                <w:szCs w:val="21"/>
                <w:highlight w:val="none"/>
              </w:rPr>
              <w:t>第十</w:t>
            </w:r>
            <w:r>
              <w:rPr>
                <w:rFonts w:hint="eastAsia" w:ascii="宋体" w:hAnsi="宋体" w:eastAsia="宋体" w:cs="宋体"/>
                <w:bCs/>
                <w:color w:val="auto"/>
                <w:sz w:val="21"/>
                <w:szCs w:val="21"/>
                <w:highlight w:val="none"/>
                <w:lang w:val="en-US" w:eastAsia="zh-CN"/>
              </w:rPr>
              <w:t>八</w:t>
            </w:r>
            <w:r>
              <w:rPr>
                <w:rFonts w:hint="eastAsia" w:ascii="宋体" w:hAnsi="宋体" w:eastAsia="宋体" w:cs="宋体"/>
                <w:bCs/>
                <w:color w:val="auto"/>
                <w:sz w:val="21"/>
                <w:szCs w:val="21"/>
                <w:highlight w:val="none"/>
              </w:rPr>
              <w:t>条规定的承诺函</w:t>
            </w:r>
          </w:p>
        </w:tc>
        <w:tc>
          <w:tcPr>
            <w:tcW w:w="1410" w:type="dxa"/>
            <w:noWrap w:val="0"/>
            <w:vAlign w:val="center"/>
          </w:tcPr>
          <w:p w14:paraId="63D7EAE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6E54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1C8FADB8">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167" w:type="dxa"/>
            <w:noWrap w:val="0"/>
            <w:vAlign w:val="center"/>
          </w:tcPr>
          <w:p w14:paraId="40E432CF">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商务条款、技术规格偏离表</w:t>
            </w:r>
          </w:p>
        </w:tc>
        <w:tc>
          <w:tcPr>
            <w:tcW w:w="1410" w:type="dxa"/>
            <w:noWrap w:val="0"/>
            <w:vAlign w:val="center"/>
          </w:tcPr>
          <w:p w14:paraId="10CD899E">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r w14:paraId="51A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0" w:type="dxa"/>
            <w:noWrap w:val="0"/>
            <w:vAlign w:val="center"/>
          </w:tcPr>
          <w:p w14:paraId="75384F36">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167" w:type="dxa"/>
            <w:noWrap w:val="0"/>
            <w:vAlign w:val="top"/>
          </w:tcPr>
          <w:p w14:paraId="34352DA2">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同类项目业绩表</w:t>
            </w:r>
          </w:p>
        </w:tc>
        <w:tc>
          <w:tcPr>
            <w:tcW w:w="1410" w:type="dxa"/>
            <w:noWrap w:val="0"/>
            <w:vAlign w:val="center"/>
          </w:tcPr>
          <w:p w14:paraId="5AF1E2A4">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r w14:paraId="783F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0" w:type="dxa"/>
            <w:noWrap w:val="0"/>
            <w:vAlign w:val="center"/>
          </w:tcPr>
          <w:p w14:paraId="076C532B">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7167" w:type="dxa"/>
            <w:noWrap w:val="0"/>
            <w:vAlign w:val="center"/>
          </w:tcPr>
          <w:p w14:paraId="19C57AAB">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结合采购文件评分细则投标供应商认为需要提供的技术资料</w:t>
            </w:r>
          </w:p>
        </w:tc>
        <w:tc>
          <w:tcPr>
            <w:tcW w:w="1410" w:type="dxa"/>
            <w:noWrap w:val="0"/>
            <w:vAlign w:val="center"/>
          </w:tcPr>
          <w:p w14:paraId="7B2F98EE">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r>
      <w:tr w14:paraId="3AAB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05C55C0C">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tc>
        <w:tc>
          <w:tcPr>
            <w:tcW w:w="7167" w:type="dxa"/>
            <w:noWrap w:val="0"/>
            <w:vAlign w:val="center"/>
          </w:tcPr>
          <w:p w14:paraId="2858EB6B">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投标供应商认为需要提供的其他文件和技术资料</w:t>
            </w:r>
          </w:p>
        </w:tc>
        <w:tc>
          <w:tcPr>
            <w:tcW w:w="1410" w:type="dxa"/>
            <w:noWrap w:val="0"/>
            <w:vAlign w:val="center"/>
          </w:tcPr>
          <w:p w14:paraId="289A8E39">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p>
        </w:tc>
      </w:tr>
    </w:tbl>
    <w:p w14:paraId="4B3DE621">
      <w:pPr>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b/>
          <w:bCs/>
          <w:snapToGrid w:val="0"/>
          <w:color w:val="auto"/>
          <w:kern w:val="0"/>
          <w:sz w:val="21"/>
          <w:szCs w:val="21"/>
          <w:highlight w:val="none"/>
        </w:rPr>
        <w:t xml:space="preserve">注：  </w:t>
      </w:r>
      <w:r>
        <w:rPr>
          <w:rFonts w:hint="eastAsia" w:ascii="宋体" w:hAnsi="宋体" w:eastAsia="宋体" w:cs="宋体"/>
          <w:b/>
          <w:bCs/>
          <w:color w:val="auto"/>
          <w:kern w:val="0"/>
          <w:sz w:val="21"/>
          <w:szCs w:val="21"/>
          <w:highlight w:val="none"/>
        </w:rPr>
        <w:t>以上各种证书、证件、证明、执照若系复印件</w:t>
      </w:r>
      <w:r>
        <w:rPr>
          <w:rFonts w:hint="eastAsia" w:ascii="宋体" w:hAnsi="宋体" w:eastAsia="宋体" w:cs="宋体"/>
          <w:b/>
          <w:color w:val="auto"/>
          <w:kern w:val="0"/>
          <w:sz w:val="21"/>
          <w:szCs w:val="21"/>
          <w:highlight w:val="none"/>
        </w:rPr>
        <w:t>。</w:t>
      </w:r>
    </w:p>
    <w:p w14:paraId="613E3FF6">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r>
        <w:rPr>
          <w:rFonts w:hint="eastAsia" w:ascii="宋体" w:hAnsi="宋体" w:eastAsia="宋体" w:cs="宋体"/>
          <w:b/>
          <w:color w:val="auto"/>
          <w:sz w:val="21"/>
          <w:szCs w:val="21"/>
          <w:highlight w:val="none"/>
        </w:rPr>
        <w:t>商务（报价）标</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167"/>
        <w:gridCol w:w="1410"/>
      </w:tblGrid>
      <w:tr w14:paraId="578D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26E619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67" w:type="dxa"/>
            <w:noWrap w:val="0"/>
            <w:vAlign w:val="center"/>
          </w:tcPr>
          <w:p w14:paraId="2857612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410" w:type="dxa"/>
            <w:noWrap w:val="0"/>
            <w:vAlign w:val="center"/>
          </w:tcPr>
          <w:p w14:paraId="09A86D2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428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26B9E78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67" w:type="dxa"/>
            <w:noWrap w:val="0"/>
            <w:vAlign w:val="center"/>
          </w:tcPr>
          <w:p w14:paraId="68317D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投标报价一览表</w:t>
            </w:r>
          </w:p>
        </w:tc>
        <w:tc>
          <w:tcPr>
            <w:tcW w:w="1410" w:type="dxa"/>
            <w:noWrap w:val="0"/>
            <w:vAlign w:val="center"/>
          </w:tcPr>
          <w:p w14:paraId="42FFD0A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r w14:paraId="658C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vAlign w:val="center"/>
          </w:tcPr>
          <w:p w14:paraId="1AEF279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67" w:type="dxa"/>
            <w:noWrap w:val="0"/>
            <w:vAlign w:val="center"/>
          </w:tcPr>
          <w:p w14:paraId="6F25E4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投标分项报价表</w:t>
            </w:r>
          </w:p>
        </w:tc>
        <w:tc>
          <w:tcPr>
            <w:tcW w:w="1410" w:type="dxa"/>
            <w:noWrap w:val="0"/>
            <w:vAlign w:val="center"/>
          </w:tcPr>
          <w:p w14:paraId="51B807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w:t>
            </w:r>
            <w:r>
              <w:rPr>
                <w:rFonts w:hint="eastAsia" w:ascii="宋体" w:hAnsi="宋体" w:eastAsia="宋体" w:cs="宋体"/>
                <w:color w:val="auto"/>
                <w:sz w:val="21"/>
                <w:szCs w:val="21"/>
                <w:highlight w:val="none"/>
              </w:rPr>
              <w:t>附件</w:t>
            </w:r>
          </w:p>
        </w:tc>
      </w:tr>
    </w:tbl>
    <w:p w14:paraId="53F64FB1">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投标文件格式</w:t>
      </w:r>
    </w:p>
    <w:p w14:paraId="56480233">
      <w:pPr>
        <w:numPr>
          <w:ilvl w:val="0"/>
          <w:numId w:val="2"/>
        </w:numPr>
        <w:tabs>
          <w:tab w:val="left" w:pos="5355"/>
        </w:tabs>
        <w:overflowPunct w:val="0"/>
        <w:spacing w:beforeLines="0" w:line="360" w:lineRule="auto"/>
        <w:ind w:left="10" w:hanging="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投标供应商应根据采购文件中所提供的格式，内容按顺序填写并装订成册；</w:t>
      </w:r>
    </w:p>
    <w:p w14:paraId="5F07E1A8">
      <w:pPr>
        <w:numPr>
          <w:ilvl w:val="0"/>
          <w:numId w:val="2"/>
        </w:numPr>
        <w:tabs>
          <w:tab w:val="left" w:pos="5355"/>
        </w:tabs>
        <w:overflowPunct w:val="0"/>
        <w:spacing w:beforeLines="0" w:line="360" w:lineRule="auto"/>
        <w:ind w:left="10" w:hanging="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投标文件应有目录以及页码，以便评委检索；</w:t>
      </w:r>
    </w:p>
    <w:p w14:paraId="06FD5E53">
      <w:pPr>
        <w:numPr>
          <w:ilvl w:val="0"/>
          <w:numId w:val="2"/>
        </w:numPr>
        <w:tabs>
          <w:tab w:val="left" w:pos="5355"/>
        </w:tabs>
        <w:overflowPunct w:val="0"/>
        <w:spacing w:beforeLines="0" w:line="360" w:lineRule="auto"/>
        <w:ind w:left="10" w:hanging="1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投标文件表述内容应简练，尽可能以双面打印（复印）制作；</w:t>
      </w:r>
    </w:p>
    <w:p w14:paraId="3BEB543E">
      <w:pPr>
        <w:numPr>
          <w:ilvl w:val="0"/>
          <w:numId w:val="2"/>
        </w:numPr>
        <w:tabs>
          <w:tab w:val="left" w:pos="5355"/>
        </w:tabs>
        <w:overflowPunct w:val="0"/>
        <w:spacing w:beforeLines="0"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投标文件的技术资信标及商务（报价）标须单独成册，分别包装于技术资信标和商务（报价）标标函袋中。</w:t>
      </w:r>
    </w:p>
    <w:p w14:paraId="04A1C403">
      <w:pPr>
        <w:pStyle w:val="25"/>
        <w:tabs>
          <w:tab w:val="left" w:pos="0"/>
          <w:tab w:val="left" w:pos="540"/>
        </w:tabs>
        <w:spacing w:beforeLines="0" w:line="360" w:lineRule="auto"/>
        <w:ind w:left="526" w:hanging="501" w:hangingChars="239"/>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u w:val="none"/>
          <w:lang w:val="en-US" w:eastAsia="zh-CN" w:bidi="ar"/>
        </w:rPr>
        <w:t xml:space="preserve">3.3  </w:t>
      </w:r>
      <w:r>
        <w:rPr>
          <w:rFonts w:hint="eastAsia" w:ascii="宋体" w:hAnsi="宋体" w:eastAsia="宋体" w:cs="宋体"/>
          <w:b w:val="0"/>
          <w:bCs w:val="0"/>
          <w:color w:val="auto"/>
          <w:kern w:val="2"/>
          <w:sz w:val="21"/>
          <w:szCs w:val="21"/>
          <w:highlight w:val="none"/>
          <w:u w:val="single"/>
          <w:lang w:val="en-US" w:eastAsia="zh-CN" w:bidi="ar"/>
        </w:rPr>
        <w:t>原件备查：供应商应携带原件备查，如评标委员会发现投标文件资料复印件存有瑕疵，致使内容模糊、关键信息难以辨认、材料真实性存疑等情形的，有权核对原件或评标委员会认为有必要核对原件，若供应商未能提交原件，将会导致评标委员会作出对其不利的评定，一切后果由供应商自行承担。</w:t>
      </w:r>
    </w:p>
    <w:p w14:paraId="66990C09">
      <w:pPr>
        <w:tabs>
          <w:tab w:val="left" w:pos="-180"/>
          <w:tab w:val="left" w:pos="180"/>
          <w:tab w:val="left" w:pos="360"/>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4.   </w:t>
      </w:r>
      <w:r>
        <w:rPr>
          <w:rFonts w:hint="eastAsia" w:ascii="宋体" w:hAnsi="宋体" w:eastAsia="宋体" w:cs="宋体"/>
          <w:b/>
          <w:bCs/>
          <w:color w:val="auto"/>
          <w:sz w:val="21"/>
          <w:szCs w:val="21"/>
          <w:highlight w:val="none"/>
        </w:rPr>
        <w:t xml:space="preserve">投标报价   </w:t>
      </w:r>
    </w:p>
    <w:p w14:paraId="36AFE07A">
      <w:pPr>
        <w:pStyle w:val="25"/>
        <w:tabs>
          <w:tab w:val="left" w:pos="0"/>
          <w:tab w:val="left" w:pos="540"/>
        </w:tabs>
        <w:spacing w:beforeLines="0" w:line="360" w:lineRule="auto"/>
        <w:ind w:left="526" w:hanging="501" w:hangingChars="23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4.1  ▲</w:t>
      </w:r>
      <w:r>
        <w:rPr>
          <w:rFonts w:hint="eastAsia" w:ascii="宋体" w:hAnsi="宋体" w:eastAsia="宋体" w:cs="宋体"/>
          <w:b/>
          <w:color w:val="auto"/>
          <w:sz w:val="21"/>
          <w:szCs w:val="21"/>
          <w:highlight w:val="none"/>
          <w:u w:val="single"/>
        </w:rPr>
        <w:t>投标报价是指</w:t>
      </w:r>
      <w:r>
        <w:rPr>
          <w:rFonts w:hint="eastAsia" w:ascii="宋体" w:hAnsi="宋体" w:eastAsia="宋体" w:cs="宋体"/>
          <w:b/>
          <w:bCs/>
          <w:color w:val="auto"/>
          <w:sz w:val="21"/>
          <w:szCs w:val="21"/>
          <w:highlight w:val="none"/>
          <w:u w:val="single"/>
        </w:rPr>
        <w:t>中标供应商正确地完全履行合同义务后采购人应支付给中标供应商的所有价款。即报价包括人工（含食宿，交通，保险）、器械设备、办公费用、税金、利润、</w:t>
      </w:r>
      <w:r>
        <w:rPr>
          <w:rFonts w:hint="eastAsia" w:ascii="宋体" w:hAnsi="宋体" w:eastAsia="宋体" w:cs="宋体"/>
          <w:b/>
          <w:bCs/>
          <w:color w:val="auto"/>
          <w:sz w:val="21"/>
          <w:szCs w:val="21"/>
          <w:highlight w:val="none"/>
          <w:u w:val="single"/>
          <w:lang w:val="en-US" w:eastAsia="zh-CN"/>
        </w:rPr>
        <w:t>管理</w:t>
      </w:r>
      <w:r>
        <w:rPr>
          <w:rFonts w:hint="eastAsia" w:ascii="宋体" w:hAnsi="宋体" w:eastAsia="宋体" w:cs="宋体"/>
          <w:b/>
          <w:bCs/>
          <w:color w:val="auto"/>
          <w:sz w:val="21"/>
          <w:szCs w:val="21"/>
          <w:highlight w:val="none"/>
          <w:u w:val="single"/>
        </w:rPr>
        <w:t>费、采购代理服务费等全部费用，实行固定费用总包干。投标供应商应根据上述因素自行考虑含入投标报价。</w:t>
      </w:r>
      <w:r>
        <w:rPr>
          <w:rFonts w:hint="eastAsia" w:ascii="宋体" w:hAnsi="宋体" w:eastAsia="宋体" w:cs="宋体"/>
          <w:b/>
          <w:bCs/>
          <w:color w:val="auto"/>
          <w:sz w:val="21"/>
          <w:szCs w:val="21"/>
          <w:highlight w:val="none"/>
          <w:u w:val="single"/>
          <w:lang w:val="en-US" w:eastAsia="zh-CN"/>
        </w:rPr>
        <w:t>投标供应商须充分考虑本项目的特殊性和不可预见性在内的所有为完成本项目引起的各项应有费用。</w:t>
      </w:r>
    </w:p>
    <w:p w14:paraId="5759F5B6">
      <w:pPr>
        <w:pStyle w:val="25"/>
        <w:tabs>
          <w:tab w:val="left" w:pos="0"/>
          <w:tab w:val="left" w:pos="540"/>
        </w:tabs>
        <w:spacing w:beforeLines="0" w:line="360" w:lineRule="auto"/>
        <w:ind w:left="526" w:hanging="501" w:hangingChars="2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投标供应商必须按附件中的投标报价一览表（统一格式）、投标分项报价表（统一格式）内容填写综合单价、综合总价和合计总价，并由法定代表人或投标供应商代表签署。</w:t>
      </w:r>
    </w:p>
    <w:p w14:paraId="3D72C317">
      <w:pPr>
        <w:tabs>
          <w:tab w:val="left" w:pos="-180"/>
          <w:tab w:val="left" w:pos="180"/>
          <w:tab w:val="left" w:pos="36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本次投标均以人民币报价，不接受其他货币的报价，投标供应商如需外汇购入某些货物，须折合成人民币计入投标报价中。</w:t>
      </w:r>
    </w:p>
    <w:p w14:paraId="228638F6">
      <w:pPr>
        <w:tabs>
          <w:tab w:val="left" w:pos="-180"/>
          <w:tab w:val="left" w:pos="180"/>
          <w:tab w:val="left" w:pos="36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采购单位不接受任何选择报价，对任何货物或服务只允许一个报价。</w:t>
      </w:r>
    </w:p>
    <w:p w14:paraId="4F641D52">
      <w:pPr>
        <w:tabs>
          <w:tab w:val="left" w:pos="-180"/>
          <w:tab w:val="left" w:pos="180"/>
          <w:tab w:val="left" w:pos="36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采购单位要求分类报价是为了方便评标，但在任何情况下不限制采购人以其认为最合适的条款、条件签订合同的权利。</w:t>
      </w:r>
    </w:p>
    <w:p w14:paraId="40F130F2">
      <w:pPr>
        <w:tabs>
          <w:tab w:val="left" w:pos="-180"/>
          <w:tab w:val="left" w:pos="180"/>
          <w:tab w:val="left" w:pos="36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4.6 </w:t>
      </w:r>
      <w:r>
        <w:rPr>
          <w:rFonts w:hint="eastAsia" w:ascii="宋体" w:hAnsi="宋体" w:eastAsia="宋体" w:cs="宋体"/>
          <w:b/>
          <w:color w:val="auto"/>
          <w:sz w:val="21"/>
          <w:szCs w:val="21"/>
          <w:highlight w:val="none"/>
        </w:rPr>
        <w:t xml:space="preserve"> 投标报价报出后，投标供应商不得以任何理由予以变更。任何包含价格调整的要求，将被认</w:t>
      </w:r>
    </w:p>
    <w:p w14:paraId="1DF7013F">
      <w:pPr>
        <w:tabs>
          <w:tab w:val="left" w:pos="-180"/>
          <w:tab w:val="left" w:pos="180"/>
          <w:tab w:val="left" w:pos="360"/>
        </w:tabs>
        <w:spacing w:beforeLines="0" w:line="360" w:lineRule="auto"/>
        <w:ind w:left="651" w:leftChars="260" w:hanging="105" w:hangingChars="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为是非实质性响应投标而予以拒绝。</w:t>
      </w:r>
    </w:p>
    <w:p w14:paraId="16DDC713">
      <w:pPr>
        <w:tabs>
          <w:tab w:val="left" w:pos="-180"/>
          <w:tab w:val="left" w:pos="180"/>
          <w:tab w:val="left" w:pos="360"/>
        </w:tabs>
        <w:spacing w:beforeLines="0" w:line="360" w:lineRule="auto"/>
        <w:ind w:left="66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  </w:t>
      </w:r>
      <w:r>
        <w:rPr>
          <w:rFonts w:hint="eastAsia" w:ascii="宋体" w:hAnsi="宋体" w:eastAsia="宋体" w:cs="宋体"/>
          <w:b/>
          <w:color w:val="auto"/>
          <w:sz w:val="21"/>
          <w:szCs w:val="21"/>
          <w:highlight w:val="none"/>
        </w:rPr>
        <w:t>最低报价不能作为中标的保证。</w:t>
      </w:r>
    </w:p>
    <w:p w14:paraId="6EDE0A7C">
      <w:pPr>
        <w:tabs>
          <w:tab w:val="left" w:pos="-180"/>
          <w:tab w:val="left" w:pos="180"/>
          <w:tab w:val="left" w:pos="360"/>
        </w:tabs>
        <w:spacing w:beforeLines="0" w:line="360" w:lineRule="auto"/>
        <w:ind w:left="660" w:hanging="630" w:hangingChars="3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5.   </w:t>
      </w:r>
      <w:r>
        <w:rPr>
          <w:rFonts w:hint="eastAsia" w:ascii="宋体" w:hAnsi="宋体" w:eastAsia="宋体" w:cs="宋体"/>
          <w:b/>
          <w:bCs/>
          <w:color w:val="auto"/>
          <w:sz w:val="21"/>
          <w:szCs w:val="21"/>
          <w:highlight w:val="none"/>
        </w:rPr>
        <w:t>投标保证金</w:t>
      </w:r>
    </w:p>
    <w:p w14:paraId="6B2DD183">
      <w:pPr>
        <w:tabs>
          <w:tab w:val="left" w:pos="540"/>
        </w:tabs>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w:t>
      </w:r>
      <w:r>
        <w:rPr>
          <w:rFonts w:hint="eastAsia" w:ascii="宋体" w:hAnsi="宋体" w:eastAsia="宋体" w:cs="宋体"/>
          <w:b/>
          <w:bCs/>
          <w:color w:val="auto"/>
          <w:sz w:val="21"/>
          <w:szCs w:val="21"/>
          <w:highlight w:val="none"/>
          <w:u w:val="single"/>
        </w:rPr>
        <w:t>投标供应商须</w:t>
      </w:r>
      <w:r>
        <w:rPr>
          <w:rFonts w:hint="eastAsia" w:ascii="宋体" w:hAnsi="宋体" w:eastAsia="宋体" w:cs="宋体"/>
          <w:b/>
          <w:bCs/>
          <w:color w:val="auto"/>
          <w:sz w:val="21"/>
          <w:szCs w:val="21"/>
          <w:highlight w:val="none"/>
          <w:u w:val="single"/>
          <w:lang w:val="en-US" w:eastAsia="zh-CN"/>
        </w:rPr>
        <w:t>采购公告</w:t>
      </w:r>
      <w:r>
        <w:rPr>
          <w:rFonts w:hint="eastAsia" w:ascii="宋体" w:hAnsi="宋体" w:eastAsia="宋体" w:cs="宋体"/>
          <w:b/>
          <w:bCs/>
          <w:color w:val="auto"/>
          <w:sz w:val="21"/>
          <w:szCs w:val="21"/>
          <w:highlight w:val="none"/>
          <w:u w:val="single"/>
        </w:rPr>
        <w:t>规定缴纳投标保证金，否则采购人将不接受其投标</w:t>
      </w:r>
      <w:r>
        <w:rPr>
          <w:rFonts w:hint="eastAsia" w:ascii="宋体" w:hAnsi="宋体" w:eastAsia="宋体" w:cs="宋体"/>
          <w:color w:val="auto"/>
          <w:sz w:val="21"/>
          <w:szCs w:val="21"/>
          <w:highlight w:val="none"/>
        </w:rPr>
        <w:t>。</w:t>
      </w:r>
    </w:p>
    <w:p w14:paraId="11795B9E">
      <w:pPr>
        <w:tabs>
          <w:tab w:val="left" w:pos="-180"/>
          <w:tab w:val="left" w:pos="180"/>
          <w:tab w:val="left" w:pos="360"/>
        </w:tabs>
        <w:spacing w:beforeLines="0" w:line="360" w:lineRule="auto"/>
        <w:ind w:left="539" w:hanging="514" w:hangingChars="24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  投标供应商的投标保证金在中标供应商与采购人签订了采购合同，未中标供应商缴纳的保证金于5个工作日内原路退回；中标供应商的投标保证金于7个工作日内原路退回。</w:t>
      </w:r>
    </w:p>
    <w:p w14:paraId="596274CF">
      <w:pPr>
        <w:tabs>
          <w:tab w:val="left" w:pos="-180"/>
          <w:tab w:val="left" w:pos="180"/>
          <w:tab w:val="left" w:pos="360"/>
        </w:tabs>
        <w:spacing w:beforeLines="0" w:line="360" w:lineRule="auto"/>
        <w:ind w:left="539" w:hanging="514" w:hangingChars="245"/>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5.3  ▲</w:t>
      </w:r>
      <w:r>
        <w:rPr>
          <w:rFonts w:hint="eastAsia" w:ascii="宋体" w:hAnsi="宋体" w:eastAsia="宋体" w:cs="宋体"/>
          <w:b/>
          <w:bCs/>
          <w:color w:val="auto"/>
          <w:sz w:val="21"/>
          <w:szCs w:val="21"/>
          <w:highlight w:val="none"/>
          <w:u w:val="single"/>
        </w:rPr>
        <w:t>发生下列情况之一，投标保证金将不予退还</w:t>
      </w:r>
      <w:r>
        <w:rPr>
          <w:rFonts w:hint="eastAsia" w:ascii="宋体" w:hAnsi="宋体" w:eastAsia="宋体" w:cs="宋体"/>
          <w:b/>
          <w:bCs/>
          <w:color w:val="auto"/>
          <w:sz w:val="21"/>
          <w:szCs w:val="21"/>
          <w:highlight w:val="none"/>
        </w:rPr>
        <w:t>：</w:t>
      </w:r>
    </w:p>
    <w:p w14:paraId="43C10DA3">
      <w:pPr>
        <w:tabs>
          <w:tab w:val="left" w:pos="-180"/>
          <w:tab w:val="left" w:pos="180"/>
          <w:tab w:val="left" w:pos="360"/>
        </w:tabs>
        <w:spacing w:beforeLines="0" w:line="360" w:lineRule="auto"/>
        <w:ind w:left="539" w:hanging="514" w:hangingChars="24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投标供应商在采购文件规定的投标有效期内撤回投标；</w:t>
      </w:r>
    </w:p>
    <w:p w14:paraId="1F980D97">
      <w:pPr>
        <w:tabs>
          <w:tab w:val="left" w:pos="5355"/>
        </w:tabs>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中标供应商未按中标通知书中规定的时间与采购人签订合同；</w:t>
      </w:r>
    </w:p>
    <w:p w14:paraId="0AE9D55E">
      <w:pPr>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中标供应商在规定期限内未能根据采购文件要求提供履约保证金；</w:t>
      </w:r>
    </w:p>
    <w:p w14:paraId="0E375570">
      <w:pPr>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投标供应商在投标时提供虚假材料或虚假承诺，经评标委员会确认属实的；</w:t>
      </w:r>
    </w:p>
    <w:p w14:paraId="1B99B52C">
      <w:pPr>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经查实，投标供应商在本次采购活动中存在违法违规行为，或法律、法规规定的其他条件。</w:t>
      </w:r>
    </w:p>
    <w:p w14:paraId="7DB2F619">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   </w:t>
      </w:r>
      <w:r>
        <w:rPr>
          <w:rFonts w:hint="eastAsia" w:ascii="宋体" w:hAnsi="宋体" w:eastAsia="宋体" w:cs="宋体"/>
          <w:b/>
          <w:bCs/>
          <w:color w:val="auto"/>
          <w:sz w:val="21"/>
          <w:szCs w:val="21"/>
          <w:highlight w:val="none"/>
        </w:rPr>
        <w:t>投标有效期</w:t>
      </w:r>
    </w:p>
    <w:p w14:paraId="2F149547">
      <w:pPr>
        <w:spacing w:beforeLines="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6.1  ▲</w:t>
      </w:r>
      <w:r>
        <w:rPr>
          <w:rFonts w:hint="eastAsia" w:ascii="宋体" w:hAnsi="宋体" w:eastAsia="宋体" w:cs="宋体"/>
          <w:b/>
          <w:color w:val="auto"/>
          <w:sz w:val="21"/>
          <w:szCs w:val="21"/>
          <w:highlight w:val="none"/>
          <w:u w:val="single"/>
        </w:rPr>
        <w:t>自开标之日起</w:t>
      </w:r>
      <w:r>
        <w:rPr>
          <w:rFonts w:hint="eastAsia" w:ascii="宋体" w:hAnsi="宋体" w:eastAsia="宋体" w:cs="宋体"/>
          <w:b/>
          <w:bCs/>
          <w:color w:val="auto"/>
          <w:sz w:val="21"/>
          <w:szCs w:val="21"/>
          <w:highlight w:val="none"/>
          <w:u w:val="single"/>
        </w:rPr>
        <w:t>90</w:t>
      </w:r>
      <w:r>
        <w:rPr>
          <w:rFonts w:hint="eastAsia" w:ascii="宋体" w:hAnsi="宋体" w:eastAsia="宋体" w:cs="宋体"/>
          <w:b/>
          <w:color w:val="auto"/>
          <w:sz w:val="21"/>
          <w:szCs w:val="21"/>
          <w:highlight w:val="none"/>
          <w:u w:val="single"/>
        </w:rPr>
        <w:t>天内投标应保持投标有效</w:t>
      </w:r>
      <w:r>
        <w:rPr>
          <w:rFonts w:hint="eastAsia" w:ascii="宋体" w:hAnsi="宋体" w:eastAsia="宋体" w:cs="宋体"/>
          <w:b/>
          <w:color w:val="auto"/>
          <w:sz w:val="21"/>
          <w:szCs w:val="21"/>
          <w:highlight w:val="none"/>
        </w:rPr>
        <w:t>。</w:t>
      </w:r>
    </w:p>
    <w:p w14:paraId="22AE7D28">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6E9AABEA">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7.   </w:t>
      </w:r>
      <w:r>
        <w:rPr>
          <w:rFonts w:hint="eastAsia" w:ascii="宋体" w:hAnsi="宋体" w:eastAsia="宋体" w:cs="宋体"/>
          <w:b/>
          <w:bCs/>
          <w:color w:val="auto"/>
          <w:sz w:val="21"/>
          <w:szCs w:val="21"/>
          <w:highlight w:val="none"/>
        </w:rPr>
        <w:t>投标文件的签署和规定</w:t>
      </w:r>
    </w:p>
    <w:p w14:paraId="1994E3D8">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r>
        <w:rPr>
          <w:rFonts w:hint="eastAsia" w:ascii="宋体" w:hAnsi="宋体" w:eastAsia="宋体" w:cs="宋体"/>
          <w:b/>
          <w:color w:val="auto"/>
          <w:sz w:val="21"/>
          <w:szCs w:val="21"/>
          <w:highlight w:val="none"/>
        </w:rPr>
        <w:t>投标供应商应提供技术资信标、商务（报价）标各一式</w:t>
      </w:r>
      <w:r>
        <w:rPr>
          <w:rFonts w:hint="eastAsia" w:ascii="宋体" w:hAnsi="宋体" w:cs="宋体"/>
          <w:b/>
          <w:color w:val="auto"/>
          <w:sz w:val="21"/>
          <w:szCs w:val="21"/>
          <w:highlight w:val="none"/>
          <w:lang w:val="en-US" w:eastAsia="zh-CN"/>
        </w:rPr>
        <w:t>伍</w:t>
      </w:r>
      <w:r>
        <w:rPr>
          <w:rFonts w:hint="eastAsia" w:ascii="宋体" w:hAnsi="宋体" w:eastAsia="宋体" w:cs="宋体"/>
          <w:b/>
          <w:color w:val="auto"/>
          <w:sz w:val="21"/>
          <w:szCs w:val="21"/>
          <w:highlight w:val="none"/>
        </w:rPr>
        <w:t>份的投标文件，分别装订成册。其中正本壹份、副本</w:t>
      </w:r>
      <w:r>
        <w:rPr>
          <w:rFonts w:hint="eastAsia" w:ascii="宋体" w:hAnsi="宋体" w:cs="宋体"/>
          <w:b/>
          <w:color w:val="auto"/>
          <w:sz w:val="21"/>
          <w:szCs w:val="21"/>
          <w:highlight w:val="none"/>
          <w:lang w:val="en-US" w:eastAsia="zh-CN"/>
        </w:rPr>
        <w:t>肆</w:t>
      </w:r>
      <w:r>
        <w:rPr>
          <w:rFonts w:hint="eastAsia" w:ascii="宋体" w:hAnsi="宋体" w:eastAsia="宋体" w:cs="宋体"/>
          <w:b/>
          <w:color w:val="auto"/>
          <w:sz w:val="21"/>
          <w:szCs w:val="21"/>
          <w:highlight w:val="none"/>
        </w:rPr>
        <w:t>份，每份投标文件的封面应清楚标</w:t>
      </w:r>
      <w:bookmarkStart w:id="222" w:name="_GoBack"/>
      <w:bookmarkEnd w:id="222"/>
      <w:r>
        <w:rPr>
          <w:rFonts w:hint="eastAsia" w:ascii="宋体" w:hAnsi="宋体" w:eastAsia="宋体" w:cs="宋体"/>
          <w:b/>
          <w:color w:val="auto"/>
          <w:sz w:val="21"/>
          <w:szCs w:val="21"/>
          <w:highlight w:val="none"/>
        </w:rPr>
        <w:t>明“正本”或“副本”字样，若“正本”和“副本”不符，以“正本”为准</w:t>
      </w:r>
      <w:r>
        <w:rPr>
          <w:rFonts w:hint="eastAsia" w:ascii="宋体" w:hAnsi="宋体" w:eastAsia="宋体" w:cs="宋体"/>
          <w:color w:val="auto"/>
          <w:sz w:val="21"/>
          <w:szCs w:val="21"/>
          <w:highlight w:val="none"/>
        </w:rPr>
        <w:t>。</w:t>
      </w:r>
    </w:p>
    <w:p w14:paraId="72E43977">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投标文件的正本必须打印或用不褪色的墨水书写，</w:t>
      </w:r>
      <w:r>
        <w:rPr>
          <w:rFonts w:hint="eastAsia" w:ascii="宋体" w:hAnsi="宋体" w:eastAsia="宋体" w:cs="宋体"/>
          <w:color w:val="auto"/>
          <w:sz w:val="21"/>
          <w:szCs w:val="21"/>
          <w:highlight w:val="none"/>
          <w:lang w:val="en-US" w:eastAsia="zh-CN"/>
        </w:rPr>
        <w:t>并由</w:t>
      </w:r>
      <w:r>
        <w:rPr>
          <w:rFonts w:hint="eastAsia" w:ascii="宋体" w:hAnsi="宋体" w:eastAsia="宋体" w:cs="宋体"/>
          <w:color w:val="auto"/>
          <w:sz w:val="21"/>
          <w:szCs w:val="21"/>
          <w:highlight w:val="none"/>
        </w:rPr>
        <w:t>法定代表人或其授权代表签字或盖公章，投标文件的副本可采用正本的复印件。</w:t>
      </w:r>
    </w:p>
    <w:p w14:paraId="420722D1">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7.3  </w:t>
      </w:r>
      <w:r>
        <w:rPr>
          <w:rFonts w:hint="eastAsia" w:ascii="宋体" w:hAnsi="宋体" w:eastAsia="宋体" w:cs="宋体"/>
          <w:b/>
          <w:color w:val="auto"/>
          <w:sz w:val="21"/>
          <w:szCs w:val="21"/>
          <w:highlight w:val="none"/>
        </w:rPr>
        <w:t>投标文件如有修改和增删必须由法定代表人或其投标供应商代表在修改和增删处旁签署或盖章，方才有效。</w:t>
      </w:r>
    </w:p>
    <w:p w14:paraId="480B691E">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投标文件字迹模糊或在关键的技术、商务条款上表述不清楚，将可能导致其投标被拒绝。</w:t>
      </w:r>
    </w:p>
    <w:p w14:paraId="6CA7A348">
      <w:pPr>
        <w:tabs>
          <w:tab w:val="left" w:pos="420"/>
        </w:tabs>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 xml:space="preserve">8.   </w:t>
      </w:r>
      <w:r>
        <w:rPr>
          <w:rFonts w:hint="eastAsia" w:ascii="宋体" w:hAnsi="宋体" w:eastAsia="宋体" w:cs="宋体"/>
          <w:b/>
          <w:bCs/>
          <w:color w:val="auto"/>
          <w:sz w:val="21"/>
          <w:szCs w:val="21"/>
          <w:highlight w:val="none"/>
        </w:rPr>
        <w:t>投标文件的密封及标记</w:t>
      </w:r>
    </w:p>
    <w:p w14:paraId="027129C9">
      <w:pPr>
        <w:spacing w:beforeLines="0" w:line="360" w:lineRule="auto"/>
        <w:ind w:left="539" w:hanging="514" w:hanging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8.1  </w:t>
      </w:r>
      <w:r>
        <w:rPr>
          <w:rFonts w:hint="eastAsia" w:ascii="宋体" w:hAnsi="宋体" w:eastAsia="宋体" w:cs="宋体"/>
          <w:b/>
          <w:color w:val="auto"/>
          <w:sz w:val="21"/>
          <w:szCs w:val="21"/>
          <w:highlight w:val="none"/>
        </w:rPr>
        <w:t>投标供应商必须将投标文件的“技术资信标”、“商务（报价）标”分别密封，且在各自的密封袋上标明“技术资信标”或“商务（报价）标”字样。</w:t>
      </w:r>
      <w:r>
        <w:rPr>
          <w:rFonts w:hint="eastAsia" w:ascii="宋体" w:hAnsi="宋体" w:eastAsia="宋体" w:cs="宋体"/>
          <w:color w:val="auto"/>
          <w:sz w:val="21"/>
          <w:szCs w:val="21"/>
          <w:highlight w:val="none"/>
        </w:rPr>
        <w:t>封口处贴上封条，启封处加盖投标供应商公章并由法定代表人或投标供应商代表签字。封皮上写明投标项目名称、编号、投标供应商名称、地址、邮政编码、电话、联系人，并注明“开标时启封”字样。</w:t>
      </w:r>
    </w:p>
    <w:p w14:paraId="3A26343F">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b/>
          <w:color w:val="auto"/>
          <w:sz w:val="21"/>
          <w:szCs w:val="21"/>
          <w:highlight w:val="none"/>
        </w:rPr>
        <w:t>如果投标供应商未按上述要求密封及加写标记，采购单位对投标文件的误投和提前启封不负责任。</w:t>
      </w:r>
    </w:p>
    <w:p w14:paraId="069456F4">
      <w:pPr>
        <w:pStyle w:val="6"/>
        <w:spacing w:before="0" w:beforeLines="0" w:after="0" w:line="360" w:lineRule="auto"/>
        <w:jc w:val="center"/>
        <w:rPr>
          <w:rFonts w:hint="eastAsia" w:ascii="宋体" w:hAnsi="宋体" w:eastAsia="宋体" w:cs="宋体"/>
          <w:color w:val="auto"/>
          <w:sz w:val="28"/>
          <w:szCs w:val="28"/>
          <w:highlight w:val="none"/>
        </w:rPr>
      </w:pPr>
      <w:bookmarkStart w:id="104" w:name="_Toc26136"/>
      <w:bookmarkStart w:id="105" w:name="_Toc4079"/>
      <w:bookmarkStart w:id="106" w:name="_Toc1360"/>
      <w:bookmarkStart w:id="107" w:name="_Toc230773778"/>
      <w:bookmarkStart w:id="108" w:name="_Toc23964"/>
      <w:r>
        <w:rPr>
          <w:rFonts w:hint="eastAsia" w:ascii="宋体" w:hAnsi="宋体" w:eastAsia="宋体" w:cs="宋体"/>
          <w:color w:val="auto"/>
          <w:sz w:val="28"/>
          <w:szCs w:val="28"/>
          <w:highlight w:val="none"/>
        </w:rPr>
        <w:t>四、投标文件的递交</w:t>
      </w:r>
      <w:bookmarkEnd w:id="104"/>
      <w:bookmarkEnd w:id="105"/>
      <w:bookmarkEnd w:id="106"/>
      <w:bookmarkEnd w:id="107"/>
      <w:bookmarkEnd w:id="108"/>
    </w:p>
    <w:p w14:paraId="2E776C18">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 xml:space="preserve">1.   </w:t>
      </w:r>
      <w:r>
        <w:rPr>
          <w:rFonts w:hint="eastAsia" w:ascii="宋体" w:hAnsi="宋体" w:eastAsia="宋体" w:cs="宋体"/>
          <w:b/>
          <w:bCs/>
          <w:color w:val="auto"/>
          <w:sz w:val="21"/>
          <w:szCs w:val="21"/>
          <w:highlight w:val="none"/>
        </w:rPr>
        <w:t>投标文件的递交</w:t>
      </w:r>
    </w:p>
    <w:p w14:paraId="21F18EAC">
      <w:pPr>
        <w:numPr>
          <w:ilvl w:val="1"/>
          <w:numId w:val="3"/>
        </w:numPr>
        <w:tabs>
          <w:tab w:val="left" w:pos="540"/>
          <w:tab w:val="clear" w:pos="992"/>
        </w:tabs>
        <w:spacing w:beforeLines="0" w:line="360" w:lineRule="auto"/>
        <w:ind w:left="540" w:hanging="540"/>
        <w:rPr>
          <w:rFonts w:hint="eastAsia" w:ascii="宋体" w:hAnsi="宋体" w:eastAsia="宋体" w:cs="宋体"/>
          <w:b/>
          <w:color w:val="auto"/>
          <w:sz w:val="21"/>
          <w:szCs w:val="21"/>
          <w:highlight w:val="none"/>
          <w:u w:val="single"/>
        </w:rPr>
      </w:pPr>
      <w:r>
        <w:rPr>
          <w:rFonts w:hint="eastAsia" w:ascii="宋体" w:hAnsi="宋体" w:eastAsia="宋体" w:cs="宋体"/>
          <w:bCs/>
          <w:color w:val="auto"/>
          <w:sz w:val="21"/>
          <w:szCs w:val="21"/>
          <w:highlight w:val="none"/>
          <w:u w:val="single"/>
        </w:rPr>
        <w:t>▲</w:t>
      </w:r>
      <w:r>
        <w:rPr>
          <w:rFonts w:hint="eastAsia" w:ascii="宋体" w:hAnsi="宋体" w:eastAsia="宋体" w:cs="宋体"/>
          <w:b/>
          <w:color w:val="auto"/>
          <w:sz w:val="21"/>
          <w:szCs w:val="21"/>
          <w:highlight w:val="none"/>
          <w:u w:val="single"/>
        </w:rPr>
        <w:t xml:space="preserve"> 投标文件必须在规定的投标截止时间前送达到指定的收标地点；</w:t>
      </w:r>
    </w:p>
    <w:p w14:paraId="23DF4B90">
      <w:pPr>
        <w:numPr>
          <w:ilvl w:val="1"/>
          <w:numId w:val="3"/>
        </w:numPr>
        <w:tabs>
          <w:tab w:val="left" w:pos="540"/>
          <w:tab w:val="clear" w:pos="992"/>
        </w:tabs>
        <w:spacing w:beforeLines="0" w:line="360" w:lineRule="auto"/>
        <w:ind w:left="552"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投标供应商如是法定代表人参加投标的，同时递交投标保证金缴纳凭证、法定代表人有效身份证明（原件）、投标供应商有效营业执照副本复印件，由评标委员会确认投标资格；</w:t>
      </w:r>
    </w:p>
    <w:p w14:paraId="48BBFB0C">
      <w:pPr>
        <w:numPr>
          <w:ilvl w:val="1"/>
          <w:numId w:val="3"/>
        </w:numPr>
        <w:tabs>
          <w:tab w:val="left" w:pos="540"/>
          <w:tab w:val="left" w:pos="2700"/>
          <w:tab w:val="clear" w:pos="992"/>
        </w:tabs>
        <w:spacing w:beforeLines="0" w:line="360" w:lineRule="auto"/>
        <w:ind w:left="552" w:hanging="527" w:hangingChars="250"/>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投标供应商如是授权代表参加投标的，同时递交投标保证金缴纳凭证、</w:t>
      </w:r>
      <w:r>
        <w:rPr>
          <w:rFonts w:hint="eastAsia" w:ascii="宋体" w:hAnsi="宋体" w:eastAsia="宋体" w:cs="宋体"/>
          <w:b/>
          <w:color w:val="auto"/>
          <w:sz w:val="21"/>
          <w:szCs w:val="21"/>
          <w:highlight w:val="none"/>
          <w:lang w:val="en-US" w:eastAsia="zh-CN"/>
        </w:rPr>
        <w:t>法定代表人身份证明或</w:t>
      </w:r>
      <w:r>
        <w:rPr>
          <w:rFonts w:hint="eastAsia" w:ascii="宋体" w:hAnsi="宋体" w:eastAsia="宋体" w:cs="宋体"/>
          <w:b/>
          <w:color w:val="auto"/>
          <w:sz w:val="21"/>
          <w:szCs w:val="21"/>
          <w:highlight w:val="none"/>
        </w:rPr>
        <w:t>法定代表人授权书（原件）、授权代表有效身份证（原件）、投标供应商有效营业执照副本复印件，由评标委员会确认投标资格。</w:t>
      </w:r>
    </w:p>
    <w:p w14:paraId="367551E4">
      <w:pPr>
        <w:spacing w:beforeLines="0" w:line="360" w:lineRule="auto"/>
        <w:ind w:left="552" w:hanging="527" w:hanging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1.4 </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如以上资料密封在投标文件技术资信标中，在技术资信标开启后经评标委员会查验符合要求亦为有效。</w:t>
      </w:r>
    </w:p>
    <w:p w14:paraId="11274827">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 xml:space="preserve">2.   </w:t>
      </w:r>
      <w:r>
        <w:rPr>
          <w:rFonts w:hint="eastAsia" w:ascii="宋体" w:hAnsi="宋体" w:eastAsia="宋体" w:cs="宋体"/>
          <w:b/>
          <w:bCs/>
          <w:color w:val="auto"/>
          <w:sz w:val="21"/>
          <w:szCs w:val="21"/>
          <w:highlight w:val="none"/>
        </w:rPr>
        <w:t>投标文件的修改和撤回</w:t>
      </w:r>
    </w:p>
    <w:p w14:paraId="63D63F89">
      <w:pPr>
        <w:tabs>
          <w:tab w:val="left" w:pos="535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2.1  </w:t>
      </w:r>
      <w:r>
        <w:rPr>
          <w:rFonts w:hint="eastAsia" w:ascii="宋体" w:hAnsi="宋体" w:eastAsia="宋体" w:cs="宋体"/>
          <w:color w:val="auto"/>
          <w:sz w:val="21"/>
          <w:szCs w:val="21"/>
          <w:highlight w:val="none"/>
        </w:rPr>
        <w:t>在投标文件递交截止时间前，投标供应商可以以书面形式提出修改或撤回其投标并送达到</w:t>
      </w:r>
      <w:r>
        <w:rPr>
          <w:rFonts w:hint="eastAsia" w:ascii="宋体" w:hAnsi="宋体" w:eastAsia="宋体" w:cs="宋体"/>
          <w:bCs/>
          <w:color w:val="auto"/>
          <w:sz w:val="21"/>
          <w:szCs w:val="21"/>
          <w:highlight w:val="none"/>
        </w:rPr>
        <w:t>采购单位</w:t>
      </w:r>
      <w:r>
        <w:rPr>
          <w:rFonts w:hint="eastAsia" w:ascii="宋体" w:hAnsi="宋体" w:eastAsia="宋体" w:cs="宋体"/>
          <w:color w:val="auto"/>
          <w:sz w:val="21"/>
          <w:szCs w:val="21"/>
          <w:highlight w:val="none"/>
        </w:rPr>
        <w:t>，但不得影响开标活动的正常进行。</w:t>
      </w:r>
    </w:p>
    <w:p w14:paraId="39619BFF">
      <w:pPr>
        <w:spacing w:beforeLines="0" w:line="360" w:lineRule="auto"/>
        <w:ind w:left="537" w:hanging="512" w:hangingChars="24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“投标文件修改”或“投标文件撤回通知”都应密封并在密封袋上写明投标项目名称、</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编号、投标供应商名称，并注明“投标文件修改”或“投标文件撤回通知”字样。</w:t>
      </w:r>
    </w:p>
    <w:p w14:paraId="0221F1C5">
      <w:pPr>
        <w:tabs>
          <w:tab w:val="left" w:pos="5355"/>
        </w:tabs>
        <w:spacing w:beforeLines="0" w:line="360" w:lineRule="auto"/>
        <w:ind w:left="535" w:hanging="510" w:hangingChars="24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2.3  </w:t>
      </w:r>
      <w:r>
        <w:rPr>
          <w:rFonts w:hint="eastAsia" w:ascii="宋体" w:hAnsi="宋体" w:eastAsia="宋体" w:cs="宋体"/>
          <w:color w:val="auto"/>
          <w:sz w:val="21"/>
          <w:szCs w:val="21"/>
          <w:highlight w:val="none"/>
        </w:rPr>
        <w:t>从投标文件递交截止日期起至投标有效期满这段时间内，投标供应商不得撤回其投标，否则投标保证金将不予退还。</w:t>
      </w:r>
    </w:p>
    <w:p w14:paraId="58A70CF2">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3.   ▲</w:t>
      </w:r>
      <w:r>
        <w:rPr>
          <w:rFonts w:hint="eastAsia" w:ascii="宋体" w:hAnsi="宋体" w:eastAsia="宋体" w:cs="宋体"/>
          <w:b/>
          <w:bCs/>
          <w:color w:val="auto"/>
          <w:sz w:val="21"/>
          <w:szCs w:val="21"/>
          <w:highlight w:val="none"/>
          <w:u w:val="single"/>
        </w:rPr>
        <w:t>发生下列情况之一的投标文件将拒收</w:t>
      </w:r>
      <w:r>
        <w:rPr>
          <w:rFonts w:hint="eastAsia" w:ascii="宋体" w:hAnsi="宋体" w:eastAsia="宋体" w:cs="宋体"/>
          <w:b/>
          <w:bCs/>
          <w:color w:val="auto"/>
          <w:sz w:val="21"/>
          <w:szCs w:val="21"/>
          <w:highlight w:val="none"/>
        </w:rPr>
        <w:t>:</w:t>
      </w:r>
    </w:p>
    <w:p w14:paraId="2C26491E">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在投标截止时间以后送达的投标文件；</w:t>
      </w:r>
    </w:p>
    <w:p w14:paraId="40ABF2FA">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  未购买采购文件；</w:t>
      </w:r>
    </w:p>
    <w:p w14:paraId="0D275021">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未在投标截止时间前缴纳投标保证金；</w:t>
      </w:r>
    </w:p>
    <w:p w14:paraId="5E66E6AE">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未密封或由于包装不妥在送达途中严重破损或失散的投标文件；</w:t>
      </w:r>
    </w:p>
    <w:p w14:paraId="58652B64">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以电讯形式递交的投标文件。</w:t>
      </w:r>
      <w:bookmarkStart w:id="109" w:name="_Toc230773779"/>
    </w:p>
    <w:p w14:paraId="1229405E">
      <w:pPr>
        <w:spacing w:before="0" w:beforeLines="0" w:line="360" w:lineRule="auto"/>
        <w:ind w:firstLine="3233" w:firstLineChars="1150"/>
        <w:outlineLvl w:val="1"/>
        <w:rPr>
          <w:rFonts w:hint="eastAsia" w:ascii="宋体" w:hAnsi="宋体" w:eastAsia="宋体" w:cs="宋体"/>
          <w:b/>
          <w:color w:val="auto"/>
          <w:sz w:val="22"/>
          <w:szCs w:val="22"/>
          <w:highlight w:val="none"/>
        </w:rPr>
      </w:pPr>
      <w:bookmarkStart w:id="110" w:name="_Toc7490"/>
      <w:bookmarkStart w:id="111" w:name="_Toc6962"/>
      <w:r>
        <w:rPr>
          <w:rFonts w:hint="eastAsia" w:ascii="宋体" w:hAnsi="宋体" w:eastAsia="宋体" w:cs="宋体"/>
          <w:b/>
          <w:color w:val="auto"/>
          <w:sz w:val="28"/>
          <w:szCs w:val="28"/>
          <w:highlight w:val="none"/>
        </w:rPr>
        <w:t>五、开标和评标</w:t>
      </w:r>
      <w:bookmarkEnd w:id="109"/>
      <w:bookmarkEnd w:id="110"/>
      <w:bookmarkEnd w:id="111"/>
    </w:p>
    <w:p w14:paraId="5AF4675C">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 xml:space="preserve">1.   </w:t>
      </w:r>
      <w:r>
        <w:rPr>
          <w:rFonts w:hint="eastAsia" w:ascii="宋体" w:hAnsi="宋体" w:eastAsia="宋体" w:cs="宋体"/>
          <w:b/>
          <w:bCs/>
          <w:color w:val="auto"/>
          <w:sz w:val="21"/>
          <w:szCs w:val="21"/>
          <w:highlight w:val="none"/>
        </w:rPr>
        <w:t>评标委员会</w:t>
      </w:r>
    </w:p>
    <w:p w14:paraId="0772BCC0">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评标委员会成员由采购人代表和有关技术、经济等方面的专家组成，成员人数为</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人及以上单数，其中技术、经济类专家不得少于总人数的2/3，除采购人代表外的专家将在</w:t>
      </w:r>
      <w:r>
        <w:rPr>
          <w:rFonts w:hint="eastAsia" w:ascii="宋体" w:hAnsi="宋体" w:eastAsia="宋体" w:cs="宋体"/>
          <w:bCs/>
          <w:color w:val="auto"/>
          <w:sz w:val="21"/>
          <w:szCs w:val="21"/>
          <w:highlight w:val="none"/>
          <w:lang w:eastAsia="zh-CN"/>
        </w:rPr>
        <w:t>浙江政府采购网</w:t>
      </w:r>
      <w:r>
        <w:rPr>
          <w:rFonts w:hint="eastAsia" w:ascii="宋体" w:hAnsi="宋体" w:eastAsia="宋体" w:cs="宋体"/>
          <w:bCs/>
          <w:color w:val="auto"/>
          <w:sz w:val="21"/>
          <w:szCs w:val="21"/>
          <w:highlight w:val="none"/>
        </w:rPr>
        <w:t>的评标专家库中随机抽取产生。评标委员会的成员在评标过程中必须严格遵守</w:t>
      </w:r>
      <w:r>
        <w:rPr>
          <w:rFonts w:hint="eastAsia" w:ascii="宋体" w:hAnsi="宋体" w:eastAsia="宋体" w:cs="宋体"/>
          <w:bCs/>
          <w:color w:val="auto"/>
          <w:sz w:val="21"/>
          <w:szCs w:val="21"/>
          <w:highlight w:val="none"/>
          <w:lang w:eastAsia="zh-CN"/>
        </w:rPr>
        <w:t>《温州市市属国有企业采购管理办法》</w:t>
      </w:r>
      <w:r>
        <w:rPr>
          <w:rFonts w:hint="eastAsia" w:ascii="宋体" w:hAnsi="宋体" w:eastAsia="宋体" w:cs="宋体"/>
          <w:bCs/>
          <w:color w:val="auto"/>
          <w:sz w:val="21"/>
          <w:szCs w:val="21"/>
          <w:highlight w:val="none"/>
        </w:rPr>
        <w:t>等有关法律、法规的规定。</w:t>
      </w:r>
    </w:p>
    <w:p w14:paraId="689C9425">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   </w:t>
      </w:r>
      <w:r>
        <w:rPr>
          <w:rFonts w:hint="eastAsia" w:ascii="宋体" w:hAnsi="宋体" w:eastAsia="宋体" w:cs="宋体"/>
          <w:b/>
          <w:bCs/>
          <w:color w:val="auto"/>
          <w:sz w:val="21"/>
          <w:szCs w:val="21"/>
          <w:highlight w:val="none"/>
        </w:rPr>
        <w:t>评标过程的保密性</w:t>
      </w:r>
    </w:p>
    <w:p w14:paraId="6F0F45F7">
      <w:pPr>
        <w:spacing w:beforeLines="0" w:line="360" w:lineRule="auto"/>
        <w:ind w:left="533" w:leftChars="4" w:hanging="525" w:hangingChars="25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2.1  开标后直至向中标供应商授予合同时止，凡与评审有关的资料均不得向投标供应商及与评标无关人员透露。如果投标供应商在评标过程中试图向采购单位施加影响，其投标将被拒绝。</w:t>
      </w:r>
    </w:p>
    <w:p w14:paraId="766DCCB2">
      <w:pPr>
        <w:spacing w:beforeLines="0" w:line="360" w:lineRule="auto"/>
        <w:ind w:left="533" w:leftChars="4"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
          <w:bCs/>
          <w:color w:val="auto"/>
          <w:sz w:val="21"/>
          <w:szCs w:val="21"/>
          <w:highlight w:val="none"/>
        </w:rPr>
        <w:t>开标、评标</w:t>
      </w:r>
    </w:p>
    <w:p w14:paraId="780647BF">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  采购单位按采购文件规定的时间、地点开启“技术资信标”，开标前首先检查投标文件的密封情况，确认无误后由采购工作人员当场拆封。</w:t>
      </w:r>
    </w:p>
    <w:p w14:paraId="11626B02">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投标文件的初审。初审分为资格性审查和符合性检查。</w:t>
      </w:r>
    </w:p>
    <w:p w14:paraId="4CF7DA90">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（1）资格性审查。依据法律、法规和采购文件的规定，评标委员会对各投标文件中的</w:t>
      </w:r>
      <w:r>
        <w:rPr>
          <w:rFonts w:hint="eastAsia" w:ascii="宋体" w:hAnsi="宋体" w:eastAsia="宋体" w:cs="宋体"/>
          <w:bCs/>
          <w:color w:val="auto"/>
          <w:sz w:val="21"/>
          <w:szCs w:val="21"/>
          <w:highlight w:val="none"/>
          <w:lang w:val="en-US" w:eastAsia="zh-CN"/>
        </w:rPr>
        <w:t>法定代表人身份证明或</w:t>
      </w:r>
      <w:r>
        <w:rPr>
          <w:rFonts w:hint="eastAsia" w:ascii="宋体" w:hAnsi="宋体" w:eastAsia="宋体" w:cs="宋体"/>
          <w:bCs/>
          <w:color w:val="auto"/>
          <w:sz w:val="21"/>
          <w:szCs w:val="21"/>
          <w:highlight w:val="none"/>
        </w:rPr>
        <w:t>法定代表人授权书（原件）、投标供应商代表有效身份证（原件）、投标供应商有效营业执照副本复印件等资格证明及投标保证金缴纳凭证进行审查，以确定是否具备投标资格。▲</w:t>
      </w:r>
      <w:r>
        <w:rPr>
          <w:rFonts w:hint="eastAsia" w:ascii="宋体" w:hAnsi="宋体" w:eastAsia="宋体" w:cs="宋体"/>
          <w:bCs/>
          <w:color w:val="auto"/>
          <w:sz w:val="21"/>
          <w:szCs w:val="21"/>
          <w:highlight w:val="none"/>
          <w:u w:val="single"/>
        </w:rPr>
        <w:t>只要有一项审查不合格，则该供应商的资格审查不合格，审查不合格的投标文件将不予评审</w:t>
      </w:r>
      <w:r>
        <w:rPr>
          <w:rFonts w:hint="eastAsia" w:ascii="宋体" w:hAnsi="宋体" w:eastAsia="宋体" w:cs="宋体"/>
          <w:bCs/>
          <w:color w:val="auto"/>
          <w:sz w:val="21"/>
          <w:szCs w:val="21"/>
          <w:highlight w:val="none"/>
        </w:rPr>
        <w:t>。</w:t>
      </w:r>
    </w:p>
    <w:p w14:paraId="3F4967B4">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（2）符合性检查。依据采购文件的规定，对投标文件的有效性、完整性和对采购文件的响应程度进行审查，以确定是否对采购文件的实质性要求作出响应。</w:t>
      </w:r>
    </w:p>
    <w:p w14:paraId="33621922">
      <w:pPr>
        <w:spacing w:beforeLines="0" w:line="360" w:lineRule="auto"/>
        <w:ind w:left="539" w:hanging="514" w:hangingChars="245"/>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3.3  ▲</w:t>
      </w:r>
      <w:r>
        <w:rPr>
          <w:rFonts w:hint="eastAsia" w:ascii="宋体" w:hAnsi="宋体" w:eastAsia="宋体" w:cs="宋体"/>
          <w:b/>
          <w:bCs/>
          <w:color w:val="auto"/>
          <w:sz w:val="21"/>
          <w:szCs w:val="21"/>
          <w:highlight w:val="none"/>
          <w:u w:val="single"/>
        </w:rPr>
        <w:t>在对各投标供应商的投标文件进行综合评审时有下列情况之一的,经评标委员会认定后按无效标处理</w:t>
      </w:r>
      <w:r>
        <w:rPr>
          <w:rFonts w:hint="eastAsia" w:ascii="宋体" w:hAnsi="宋体" w:eastAsia="宋体" w:cs="宋体"/>
          <w:b/>
          <w:bCs/>
          <w:color w:val="auto"/>
          <w:sz w:val="21"/>
          <w:szCs w:val="21"/>
          <w:highlight w:val="none"/>
        </w:rPr>
        <w:t>：</w:t>
      </w:r>
    </w:p>
    <w:p w14:paraId="1541832C">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1</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投标文件中要求</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加盖</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公章的地方无</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公章的；</w:t>
      </w:r>
    </w:p>
    <w:p w14:paraId="4CC84812">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2</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投标文件中要求</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法定代表人或授权代表签字（或盖章）的地方无法定代表人签字（或盖章）或其授权代表签字（或盖章）的；</w:t>
      </w:r>
    </w:p>
    <w:p w14:paraId="6E3E7D2F">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3</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不具备采购文件中规定的资格要求的；</w:t>
      </w:r>
    </w:p>
    <w:p w14:paraId="17BA3056">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4</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报价超过采购文件中规定的预算金额或者最高限价的；</w:t>
      </w:r>
    </w:p>
    <w:p w14:paraId="7AC267DB">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投标文件含有采购人不能接受的附加条件的；</w:t>
      </w:r>
    </w:p>
    <w:p w14:paraId="3C7DB9A5">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6</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经评标委员会认定</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串通投标的；</w:t>
      </w:r>
    </w:p>
    <w:p w14:paraId="39096BBB">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7</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同时出现两种及以上不一致价格且修正后</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不确认报价的；</w:t>
      </w:r>
    </w:p>
    <w:p w14:paraId="0D132C50">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8</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报价明显低于其他通过符合性审查</w:t>
      </w:r>
      <w:r>
        <w:rPr>
          <w:rFonts w:hint="eastAsia" w:ascii="宋体" w:hAnsi="宋体" w:eastAsia="宋体" w:cs="宋体"/>
          <w:b w:val="0"/>
          <w:bCs/>
          <w:color w:val="auto"/>
          <w:kern w:val="2"/>
          <w:sz w:val="21"/>
          <w:szCs w:val="21"/>
          <w:highlight w:val="none"/>
          <w:u w:val="none"/>
          <w:lang w:eastAsia="zh-CN"/>
        </w:rPr>
        <w:t>投标供应商</w:t>
      </w:r>
      <w:r>
        <w:rPr>
          <w:rFonts w:hint="eastAsia" w:ascii="宋体" w:hAnsi="宋体" w:eastAsia="宋体" w:cs="宋体"/>
          <w:b w:val="0"/>
          <w:bCs/>
          <w:color w:val="auto"/>
          <w:kern w:val="2"/>
          <w:sz w:val="21"/>
          <w:szCs w:val="21"/>
          <w:highlight w:val="none"/>
          <w:u w:val="none"/>
        </w:rPr>
        <w:t>的报价，且在评标现场合理的时间内不能证明其报价合理性的；</w:t>
      </w:r>
    </w:p>
    <w:p w14:paraId="6EC7AB6D">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lang w:val="en-US" w:eastAsia="zh-CN"/>
        </w:rPr>
        <w:t>9</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rPr>
        <w:t>在</w:t>
      </w:r>
      <w:r>
        <w:rPr>
          <w:rFonts w:hint="eastAsia" w:ascii="宋体" w:hAnsi="宋体" w:eastAsia="宋体" w:cs="宋体"/>
          <w:b w:val="0"/>
          <w:bCs/>
          <w:color w:val="auto"/>
          <w:kern w:val="2"/>
          <w:sz w:val="21"/>
          <w:szCs w:val="21"/>
          <w:highlight w:val="none"/>
          <w:u w:val="none"/>
          <w:lang w:val="zh-CN" w:eastAsia="zh-CN"/>
        </w:rPr>
        <w:t>技术资信标</w:t>
      </w:r>
      <w:r>
        <w:rPr>
          <w:rFonts w:hint="eastAsia" w:ascii="宋体" w:hAnsi="宋体" w:eastAsia="宋体" w:cs="宋体"/>
          <w:b w:val="0"/>
          <w:bCs/>
          <w:color w:val="auto"/>
          <w:sz w:val="21"/>
          <w:szCs w:val="21"/>
          <w:highlight w:val="none"/>
          <w:u w:val="none"/>
        </w:rPr>
        <w:t>中出现投标报价的；</w:t>
      </w:r>
    </w:p>
    <w:p w14:paraId="1488E357">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10</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授权代表无法定代表人合法、有效委托的；</w:t>
      </w:r>
    </w:p>
    <w:p w14:paraId="22DA184C">
      <w:pPr>
        <w:numPr>
          <w:ilvl w:val="0"/>
          <w:numId w:val="0"/>
        </w:numPr>
        <w:spacing w:beforeLines="0" w:line="360" w:lineRule="auto"/>
        <w:ind w:left="539" w:hanging="514" w:hangingChars="245"/>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lang w:val="en-US" w:eastAsia="zh-CN"/>
        </w:rPr>
        <w:t>11</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u w:val="none"/>
        </w:rPr>
        <w:t>提供了虚假文件资料，有弄虚作假行为的；</w:t>
      </w:r>
    </w:p>
    <w:p w14:paraId="53D30C82">
      <w:pPr>
        <w:numPr>
          <w:ilvl w:val="0"/>
          <w:numId w:val="0"/>
        </w:numPr>
        <w:spacing w:beforeLines="0" w:line="360" w:lineRule="auto"/>
        <w:ind w:left="539" w:hanging="514" w:hangingChars="245"/>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12</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rPr>
        <w:t>评标委员会认定不符合法律、法规和采购文件中规定的其他实质性要求的。</w:t>
      </w:r>
    </w:p>
    <w:p w14:paraId="0C50455C">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  ▲有下列情形之一的，视为投标供应商串通投标，其投标无效：</w:t>
      </w:r>
    </w:p>
    <w:p w14:paraId="3E4F67AF">
      <w:pPr>
        <w:spacing w:beforeLines="0"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不同投标供应商的投标文件由同一单位或者个人编制；</w:t>
      </w:r>
    </w:p>
    <w:p w14:paraId="65A7628E">
      <w:pPr>
        <w:spacing w:beforeLines="0"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不同投标供应商供应商委托同一单位或者个人办理投标事宜；</w:t>
      </w:r>
    </w:p>
    <w:p w14:paraId="6185D714">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不同投标供应商的投标文件载明的项目管理成员或者联系人员为同一人；</w:t>
      </w:r>
    </w:p>
    <w:p w14:paraId="1FCB031F">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不同投标供应商的投标文件异常一致或者投标报价呈规律性差异；</w:t>
      </w:r>
    </w:p>
    <w:p w14:paraId="31BCAF67">
      <w:pPr>
        <w:spacing w:beforeLines="0" w:line="360" w:lineRule="auto"/>
        <w:ind w:left="539" w:hanging="514" w:hangingChars="24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不同投标供应商的投标文件相互混装；</w:t>
      </w:r>
    </w:p>
    <w:p w14:paraId="6183930C">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  </w:t>
      </w:r>
      <w:r>
        <w:rPr>
          <w:rFonts w:hint="eastAsia" w:ascii="宋体" w:hAnsi="宋体" w:eastAsia="宋体" w:cs="宋体"/>
          <w:b/>
          <w:bCs/>
          <w:color w:val="auto"/>
          <w:sz w:val="21"/>
          <w:szCs w:val="21"/>
          <w:highlight w:val="none"/>
        </w:rPr>
        <w:t>开商务（报价）标</w:t>
      </w:r>
    </w:p>
    <w:p w14:paraId="331381A1">
      <w:pPr>
        <w:spacing w:beforeLines="0" w:line="360" w:lineRule="auto"/>
        <w:ind w:left="542" w:leftChars="8"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（1）开商务（报价）标时邀请所有投标供应商代表参加，参加开标的代表应准时出席并签名报到以证明其出席。投标供应商代表未参加开标会的，事后不得对开标过程和开标结果提出异议。</w:t>
      </w:r>
    </w:p>
    <w:p w14:paraId="097107EA">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（2）宣布各投标供应商资格性审查结果和技术资信标得分情况。</w:t>
      </w:r>
    </w:p>
    <w:p w14:paraId="20708DB3">
      <w:pPr>
        <w:spacing w:beforeLines="0" w:line="360" w:lineRule="auto"/>
        <w:ind w:left="544" w:leftChars="9"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检查有效投标供应商“商务（报价）标”的密封情况，确认无误后开启“商务（报价）标”，唱读“投标报价一览表”全部内容。唱读结束后，投标供应商代表应对唱读内容及记录结果进行校核和签字确认，如有异议应当场提出，否则视为默许同意。</w:t>
      </w:r>
    </w:p>
    <w:p w14:paraId="33BF78D6">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（4）开标时没有启封和唱读的投标文件，原封退回给投标供应商。</w:t>
      </w:r>
    </w:p>
    <w:p w14:paraId="60E83D47">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（5）开商务(价格)标时，指定专人作好记录，存档备查。</w:t>
      </w:r>
    </w:p>
    <w:p w14:paraId="522DD854">
      <w:pPr>
        <w:spacing w:beforeLines="0" w:line="360" w:lineRule="auto"/>
        <w:ind w:left="546" w:leftChars="10"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xml:space="preserve">  “商务（报价）标”开启后，由评标委员会对各投标供应商的商务报价进行核查，核查时发现投标报价内容不清楚可要求投标供应商书面澄清，投标文件中投标报价一览表内容与投标文件中相应内容不一致的，以投标报价一览表为准，计算上的错误，可按下面方法修改：</w:t>
      </w:r>
    </w:p>
    <w:p w14:paraId="0F384828">
      <w:pPr>
        <w:spacing w:beforeLines="0" w:line="360" w:lineRule="auto"/>
        <w:ind w:left="542" w:leftChars="8" w:hanging="525" w:hanging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（1）投标文件的大写金额与小写金额不一致的以大写金额为准；总价金额与按单价汇总金额不一致的，以单价金额计算结果为准；单价金额小数点有明显错位的，应以总价为准，并修改单价。</w:t>
      </w:r>
    </w:p>
    <w:p w14:paraId="0F3391BD">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
          <w:bCs/>
          <w:color w:val="auto"/>
          <w:sz w:val="21"/>
          <w:szCs w:val="21"/>
          <w:highlight w:val="none"/>
        </w:rPr>
        <w:t>如果投标供应商不接受对其价格错误的修改，其投标将被拒绝。</w:t>
      </w:r>
    </w:p>
    <w:p w14:paraId="02CA7F36">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color w:val="auto"/>
          <w:sz w:val="21"/>
          <w:szCs w:val="21"/>
          <w:highlight w:val="none"/>
        </w:rPr>
        <w:t>评标委员会决定投标的响应性只根据投标文件本身的内容，而不寻求外部的证据。</w:t>
      </w:r>
    </w:p>
    <w:p w14:paraId="014B6EF0">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实质上没有响应采购文件要求的投标将被拒绝，</w:t>
      </w:r>
      <w:r>
        <w:rPr>
          <w:rFonts w:hint="eastAsia" w:ascii="宋体" w:hAnsi="宋体" w:eastAsia="宋体" w:cs="宋体"/>
          <w:color w:val="auto"/>
          <w:sz w:val="21"/>
          <w:szCs w:val="21"/>
          <w:highlight w:val="none"/>
        </w:rPr>
        <w:t>投标供应商不得通过修正或撤消不合要求的偏离从而使其投标成为实质上响应的投标。</w:t>
      </w:r>
    </w:p>
    <w:p w14:paraId="3F169DAC">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评标委员会对审查合格的投标文件，按照采购文件中制订的评标方法进行综合评定打分。</w:t>
      </w:r>
    </w:p>
    <w:p w14:paraId="073C12B8">
      <w:pPr>
        <w:tabs>
          <w:tab w:val="left" w:pos="136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评标过程中遇到特殊情况，由评标委员会遵循公开、公正原则，采取投票方式按照少数服从多数原则决定。</w:t>
      </w:r>
    </w:p>
    <w:p w14:paraId="6F4898C0">
      <w:pPr>
        <w:tabs>
          <w:tab w:val="left" w:pos="136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3.11▲使用综合评分法的采购项目，提供相同品牌产品且通过资格审查、符合性审查的不同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参加同一合同项下投标的，按一家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计算，评审后得分最高的同品牌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获得中标人推荐资格；评审得分相同的，由采购人或者采购人委托评标委员会确定一个</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获得中标人推荐资格，采取随机抽取方式确定，其他同品牌</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不作为中标候选人。非单一产品采购项目，根据核心产品品牌确定。</w:t>
      </w:r>
    </w:p>
    <w:p w14:paraId="67A8B9C4">
      <w:pPr>
        <w:tabs>
          <w:tab w:val="left" w:pos="136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投标文件的澄清</w:t>
      </w:r>
    </w:p>
    <w:p w14:paraId="77DC934A">
      <w:pPr>
        <w:tabs>
          <w:tab w:val="left" w:pos="136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在评标期间，评标委员会可以书面方式要求投标供应商对投标文件中含义不明确、对同类问题表述不一致或者有明显文字和计算错误的内容作必要的澄清、说明或补正。澄清、说明或补正应以书面形式并由投标供应商代表签署，但澄清内容不得超出投标文件的范围或者改变投标文件的实质性内容。拒不按要求对其投标文件进行澄清，说明或补正的投标供应商，评标委员会可以否决其投标。</w:t>
      </w:r>
    </w:p>
    <w:p w14:paraId="6E3C9187">
      <w:pPr>
        <w:tabs>
          <w:tab w:val="left" w:pos="1365"/>
        </w:tabs>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4.2  经澄清后，若偏差仍存在，且不可接受，投标文件则被认为是“没有实质性响应采购文件要求”，不进入下一步评审。</w:t>
      </w:r>
    </w:p>
    <w:p w14:paraId="0934F31C">
      <w:pPr>
        <w:tabs>
          <w:tab w:val="left" w:pos="720"/>
        </w:tabs>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确定中标候选供应商</w:t>
      </w:r>
    </w:p>
    <w:p w14:paraId="20934DA7">
      <w:pPr>
        <w:tabs>
          <w:tab w:val="left" w:pos="1365"/>
        </w:tabs>
        <w:spacing w:beforeLines="0" w:line="360" w:lineRule="auto"/>
        <w:ind w:left="525" w:hanging="525" w:hanging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5.1 </w:t>
      </w:r>
      <w:r>
        <w:rPr>
          <w:rFonts w:hint="eastAsia" w:ascii="宋体" w:hAnsi="宋体" w:eastAsia="宋体" w:cs="宋体"/>
          <w:color w:val="auto"/>
          <w:sz w:val="21"/>
          <w:szCs w:val="21"/>
          <w:highlight w:val="none"/>
        </w:rPr>
        <w:t xml:space="preserve"> 本次采购由评标委员会推荐中标候选供应商，采购人根据评标委员会的推荐结果最终确认</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名中标供应商。</w:t>
      </w:r>
    </w:p>
    <w:p w14:paraId="7130ABE8">
      <w:pPr>
        <w:tabs>
          <w:tab w:val="left" w:pos="1365"/>
        </w:tabs>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5.2  评标委员会依据法律、法规及采购文件有关规定在有效标中按投标供应商综合得分由高到低顺序排列，综合得分最高的前两名投标供应商依次作为第一中标候选供应商、第二中标候选供应商向采购人推荐，并提交评标报告（得分相同，投标报价低的排序靠前；得分且投标报价相同的，由评委抽签决定顺序排列。）。</w:t>
      </w:r>
    </w:p>
    <w:p w14:paraId="498FF491">
      <w:pPr>
        <w:pStyle w:val="3"/>
        <w:spacing w:beforeLines="0" w:after="0" w:line="360" w:lineRule="auto"/>
        <w:ind w:left="550" w:hanging="525" w:hangingChars="2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5.3  </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排名第一的中标候选供应商因自身原因放弃中标或因不可抗力不能履行合同的；或采购文件规定应当提交履约保证金而在规定的期限内未能提交的；或未能在规定时间内与采购人签订合同的；或经质疑，采购组织机构审查确认因排名第一的候选供应商在本次采购活动中存在违法违规行为或其他原因使质疑成立的，采购人可以视情况确定是否由排名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的候选供应商为中标供应商，或重新组织采购。</w:t>
      </w:r>
    </w:p>
    <w:p w14:paraId="11EF4250">
      <w:pPr>
        <w:tabs>
          <w:tab w:val="left" w:pos="1365"/>
        </w:tabs>
        <w:spacing w:beforeLines="0" w:line="360" w:lineRule="auto"/>
        <w:ind w:left="44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采购单位对中标结果不做任何解释，也不保证最低价中标。</w:t>
      </w:r>
    </w:p>
    <w:p w14:paraId="1ECC69DF">
      <w:pPr>
        <w:spacing w:beforeLines="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评标细则详见第五部分“评标原则及方法”。</w:t>
      </w:r>
    </w:p>
    <w:p w14:paraId="63599943">
      <w:pPr>
        <w:spacing w:beforeLines="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未尽事宜遵循相关法律法规及规范性文件执行。</w:t>
      </w:r>
      <w:bookmarkStart w:id="112" w:name="_Toc230773780"/>
    </w:p>
    <w:p w14:paraId="3A22C21E">
      <w:pPr>
        <w:spacing w:before="0" w:beforeLines="0" w:line="360" w:lineRule="auto"/>
        <w:ind w:firstLine="3935" w:firstLineChars="1400"/>
        <w:outlineLvl w:val="1"/>
        <w:rPr>
          <w:rFonts w:hint="eastAsia" w:ascii="宋体" w:hAnsi="宋体" w:eastAsia="宋体" w:cs="宋体"/>
          <w:b/>
          <w:color w:val="auto"/>
          <w:sz w:val="22"/>
          <w:szCs w:val="22"/>
          <w:highlight w:val="none"/>
        </w:rPr>
      </w:pPr>
      <w:bookmarkStart w:id="113" w:name="_Toc30121"/>
      <w:bookmarkStart w:id="114" w:name="_Toc20542"/>
      <w:r>
        <w:rPr>
          <w:rFonts w:hint="eastAsia" w:ascii="宋体" w:hAnsi="宋体" w:eastAsia="宋体" w:cs="宋体"/>
          <w:b/>
          <w:color w:val="auto"/>
          <w:sz w:val="28"/>
          <w:szCs w:val="28"/>
          <w:highlight w:val="none"/>
        </w:rPr>
        <w:t>六、授予合同</w:t>
      </w:r>
      <w:bookmarkEnd w:id="112"/>
      <w:bookmarkEnd w:id="113"/>
      <w:bookmarkEnd w:id="114"/>
    </w:p>
    <w:p w14:paraId="1521D1B2">
      <w:pPr>
        <w:tabs>
          <w:tab w:val="left" w:pos="1365"/>
        </w:tabs>
        <w:spacing w:beforeLines="0" w:line="360" w:lineRule="auto"/>
        <w:ind w:left="552"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确定中标供应商</w:t>
      </w:r>
    </w:p>
    <w:p w14:paraId="26CF4C2A">
      <w:pPr>
        <w:tabs>
          <w:tab w:val="left" w:pos="1365"/>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采购人自收到评标报告之日起5个工作日内，在评标报告确定的中标候选人名单中按顺序确定中标</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p>
    <w:p w14:paraId="59833F2E">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 xml:space="preserve">2.   </w:t>
      </w:r>
      <w:r>
        <w:rPr>
          <w:rFonts w:hint="eastAsia" w:ascii="宋体" w:hAnsi="宋体" w:eastAsia="宋体" w:cs="宋体"/>
          <w:b/>
          <w:bCs/>
          <w:color w:val="auto"/>
          <w:sz w:val="21"/>
          <w:szCs w:val="21"/>
          <w:highlight w:val="none"/>
        </w:rPr>
        <w:t>中标公告</w:t>
      </w:r>
    </w:p>
    <w:p w14:paraId="526F5517">
      <w:pPr>
        <w:spacing w:beforeLines="0" w:line="360" w:lineRule="auto"/>
        <w:ind w:left="550" w:hanging="525" w:hangingChars="25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2.1  中标</w:t>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确定之日起2个工作日内，在发布项目采购公告的网站上公告中标结果，中标公告期限为3日。</w:t>
      </w:r>
    </w:p>
    <w:p w14:paraId="20F76D89">
      <w:pPr>
        <w:spacing w:beforeLines="0" w:line="360" w:lineRule="auto"/>
        <w:ind w:left="44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
          <w:bCs/>
          <w:color w:val="auto"/>
          <w:sz w:val="21"/>
          <w:szCs w:val="21"/>
          <w:highlight w:val="none"/>
        </w:rPr>
        <w:t>中标通知书</w:t>
      </w:r>
    </w:p>
    <w:p w14:paraId="7260611F">
      <w:pPr>
        <w:spacing w:beforeLines="0" w:line="360" w:lineRule="auto"/>
        <w:ind w:left="55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3.1  中标供应商确定后，采购单位将向中标供应商发出中标通知书。</w:t>
      </w:r>
    </w:p>
    <w:p w14:paraId="2E41D8BE">
      <w:pPr>
        <w:spacing w:beforeLines="0" w:line="360" w:lineRule="auto"/>
        <w:ind w:left="55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3.2  中标通知书是合同的一个组成部分,对采购人和中标供应商均具有同等法律效力。</w:t>
      </w:r>
    </w:p>
    <w:p w14:paraId="76EA312E">
      <w:pPr>
        <w:spacing w:beforeLines="0" w:line="360" w:lineRule="auto"/>
        <w:ind w:left="550" w:hanging="557" w:hangingChars="25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4.   授标时更改采购货物数量的权力</w:t>
      </w:r>
    </w:p>
    <w:p w14:paraId="43AF8042">
      <w:pPr>
        <w:spacing w:beforeLines="0" w:line="360" w:lineRule="auto"/>
        <w:ind w:left="55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4.1  采购人在授予合同时有权对采购货物的数量和服务在一定幅度范围内予以增加或减少,但不得对单价和其他的条款和条件作任何改变。</w:t>
      </w:r>
    </w:p>
    <w:p w14:paraId="2DF16A38">
      <w:pPr>
        <w:spacing w:beforeLines="0" w:line="360" w:lineRule="auto"/>
        <w:ind w:left="44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5.   </w:t>
      </w:r>
      <w:r>
        <w:rPr>
          <w:rFonts w:hint="eastAsia" w:ascii="宋体" w:hAnsi="宋体" w:eastAsia="宋体" w:cs="宋体"/>
          <w:b/>
          <w:bCs/>
          <w:color w:val="auto"/>
          <w:sz w:val="21"/>
          <w:szCs w:val="21"/>
          <w:highlight w:val="none"/>
        </w:rPr>
        <w:t>签订合同</w:t>
      </w:r>
    </w:p>
    <w:p w14:paraId="7BD5CD1A">
      <w:pPr>
        <w:spacing w:beforeLines="0" w:line="360" w:lineRule="auto"/>
        <w:ind w:left="44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中标供应商应按中标通知书规定的时间、地点与采购人签订合同，同时提交履约保证金。</w:t>
      </w:r>
    </w:p>
    <w:p w14:paraId="3B6B45E3">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5.2  </w:t>
      </w:r>
      <w:r>
        <w:rPr>
          <w:rFonts w:hint="eastAsia" w:ascii="宋体" w:hAnsi="宋体" w:eastAsia="宋体" w:cs="宋体"/>
          <w:color w:val="auto"/>
          <w:spacing w:val="6"/>
          <w:sz w:val="21"/>
          <w:szCs w:val="21"/>
          <w:highlight w:val="none"/>
        </w:rPr>
        <w:t>在签订合同前，采购人有权在中标总价不变的前提下要求中标供应商对商务报价中的不平衡报价和缺漏项进行调整，如果中标供应商无合理理由拒绝调整，其中标资格将被取消，保证金将不予退还，且将导致其它进一步的赔偿和处罚。</w:t>
      </w:r>
    </w:p>
    <w:p w14:paraId="5DDD171A">
      <w:pPr>
        <w:spacing w:beforeLines="0" w:line="360" w:lineRule="auto"/>
        <w:ind w:left="550" w:hanging="525" w:hangingChars="2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5.3  采购文件、中标供应商的投标文件、投标修改文件、评标过程中有关澄清文件及经投标供应商和评委双方签字的询标纪要和中标通知书均作为合同附件。</w:t>
      </w:r>
    </w:p>
    <w:p w14:paraId="093D3373">
      <w:pPr>
        <w:spacing w:beforeLines="0" w:line="360" w:lineRule="auto"/>
        <w:ind w:left="440" w:hanging="420" w:hanging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5.4  拒签合同的违约责任</w:t>
      </w:r>
    </w:p>
    <w:p w14:paraId="2CA7743F">
      <w:pPr>
        <w:spacing w:beforeLines="0" w:line="360" w:lineRule="auto"/>
        <w:ind w:left="565" w:leftChars="26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中标供应商接到中标通知书后，在规定时间内借故否认已经承诺的条件而拒签合同的，以违约处理，其投标保证金将不予退还。</w:t>
      </w:r>
    </w:p>
    <w:p w14:paraId="63067A18">
      <w:pPr>
        <w:pStyle w:val="3"/>
        <w:keepNext w:val="0"/>
        <w:keepLines w:val="0"/>
        <w:pageBreakBefore w:val="0"/>
        <w:widowControl w:val="0"/>
        <w:kinsoku/>
        <w:wordWrap/>
        <w:overflowPunct/>
        <w:topLinePunct w:val="0"/>
        <w:autoSpaceDE/>
        <w:autoSpaceDN/>
        <w:bidi w:val="0"/>
        <w:adjustRightInd/>
        <w:snapToGrid/>
        <w:spacing w:beforeLines="0" w:after="0" w:line="360" w:lineRule="auto"/>
        <w:ind w:left="550" w:hanging="525" w:hangingChars="25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rPr>
        <w:t xml:space="preserve">5.5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中标人在采购合同签订后应及时提交壹份交采购代理机构备案。同时提交一份投标文件正式版的扫描件（PDF格式）供采购人备案用。</w:t>
      </w:r>
    </w:p>
    <w:p w14:paraId="7B4DBDA6">
      <w:pPr>
        <w:spacing w:beforeLines="0" w:line="360" w:lineRule="auto"/>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 xml:space="preserve">6.   </w:t>
      </w:r>
      <w:r>
        <w:rPr>
          <w:rFonts w:hint="eastAsia" w:ascii="宋体" w:hAnsi="宋体" w:eastAsia="宋体" w:cs="宋体"/>
          <w:b/>
          <w:color w:val="auto"/>
          <w:spacing w:val="6"/>
          <w:sz w:val="21"/>
          <w:szCs w:val="21"/>
          <w:highlight w:val="none"/>
        </w:rPr>
        <w:t>履约保证金</w:t>
      </w:r>
    </w:p>
    <w:p w14:paraId="0CB30486">
      <w:pPr>
        <w:spacing w:beforeLines="0" w:line="360" w:lineRule="auto"/>
        <w:ind w:left="58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6.1  </w:t>
      </w:r>
      <w:r>
        <w:rPr>
          <w:rFonts w:hint="eastAsia" w:ascii="宋体" w:hAnsi="宋体" w:eastAsia="宋体" w:cs="宋体"/>
          <w:color w:val="auto"/>
          <w:kern w:val="2"/>
          <w:sz w:val="21"/>
          <w:szCs w:val="21"/>
          <w:highlight w:val="none"/>
          <w:lang w:val="en-US" w:eastAsia="zh-CN" w:bidi="ar-SA"/>
        </w:rPr>
        <w:t>本工程质量、安全、进度履约金共计 10 万元，在扣除有关处罚罚款后，项目完成后次月月底前一次性退</w:t>
      </w:r>
      <w:r>
        <w:rPr>
          <w:rFonts w:hint="eastAsia" w:ascii="宋体" w:hAnsi="宋体" w:eastAsia="宋体" w:cs="宋体"/>
          <w:color w:val="auto"/>
          <w:sz w:val="21"/>
          <w:szCs w:val="21"/>
          <w:highlight w:val="none"/>
        </w:rPr>
        <w:t>。</w:t>
      </w:r>
    </w:p>
    <w:p w14:paraId="6DC9EECE">
      <w:pPr>
        <w:spacing w:beforeLines="0" w:line="360" w:lineRule="auto"/>
        <w:ind w:left="550" w:hanging="525" w:hanging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7.   </w:t>
      </w:r>
      <w:r>
        <w:rPr>
          <w:rFonts w:hint="eastAsia" w:ascii="宋体" w:hAnsi="宋体" w:eastAsia="宋体" w:cs="宋体"/>
          <w:b/>
          <w:color w:val="auto"/>
          <w:sz w:val="21"/>
          <w:szCs w:val="21"/>
          <w:highlight w:val="none"/>
        </w:rPr>
        <w:t>质疑与投诉</w:t>
      </w:r>
    </w:p>
    <w:p w14:paraId="73C65F16">
      <w:pPr>
        <w:tabs>
          <w:tab w:val="left" w:pos="54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r>
        <w:rPr>
          <w:rFonts w:hint="eastAsia" w:ascii="宋体" w:hAnsi="宋体" w:eastAsia="宋体" w:cs="宋体"/>
          <w:color w:val="auto"/>
          <w:sz w:val="21"/>
          <w:szCs w:val="21"/>
          <w:highlight w:val="none"/>
          <w:u w:val="single"/>
        </w:rPr>
        <w:t>投标供应商认为采购文件、采购过程、中标结果使自己的合法权益受到损害的，可以在</w:t>
      </w:r>
      <w:r>
        <w:rPr>
          <w:rFonts w:hint="eastAsia" w:ascii="宋体" w:hAnsi="宋体" w:eastAsia="宋体" w:cs="宋体"/>
          <w:color w:val="auto"/>
          <w:sz w:val="21"/>
          <w:szCs w:val="21"/>
          <w:highlight w:val="none"/>
          <w:u w:val="single"/>
          <w:lang w:val="en-US" w:eastAsia="zh-CN"/>
        </w:rPr>
        <w:t>相关公告</w:t>
      </w:r>
      <w:r>
        <w:rPr>
          <w:rFonts w:hint="eastAsia" w:ascii="宋体" w:hAnsi="宋体" w:eastAsia="宋体" w:cs="宋体"/>
          <w:color w:val="auto"/>
          <w:kern w:val="2"/>
          <w:sz w:val="21"/>
          <w:szCs w:val="21"/>
          <w:highlight w:val="none"/>
          <w:lang w:val="en-US" w:eastAsia="zh-CN" w:bidi="ar"/>
        </w:rPr>
        <w:t>规定时间内</w:t>
      </w:r>
      <w:r>
        <w:rPr>
          <w:rFonts w:hint="eastAsia" w:ascii="宋体" w:hAnsi="宋体" w:eastAsia="宋体" w:cs="宋体"/>
          <w:color w:val="auto"/>
          <w:sz w:val="21"/>
          <w:szCs w:val="21"/>
          <w:highlight w:val="none"/>
          <w:u w:val="single"/>
        </w:rPr>
        <w:t>以书面形式</w:t>
      </w:r>
      <w:r>
        <w:rPr>
          <w:rFonts w:hint="eastAsia" w:ascii="宋体" w:hAnsi="宋体" w:eastAsia="宋体" w:cs="宋体"/>
          <w:color w:val="auto"/>
          <w:sz w:val="21"/>
          <w:szCs w:val="21"/>
          <w:highlight w:val="none"/>
          <w:u w:val="single"/>
          <w:lang w:val="en-US" w:eastAsia="zh-CN"/>
        </w:rPr>
        <w:t>一次性</w:t>
      </w:r>
      <w:r>
        <w:rPr>
          <w:rFonts w:hint="eastAsia" w:ascii="宋体" w:hAnsi="宋体" w:eastAsia="宋体" w:cs="宋体"/>
          <w:color w:val="auto"/>
          <w:sz w:val="21"/>
          <w:szCs w:val="21"/>
          <w:highlight w:val="none"/>
          <w:u w:val="single"/>
        </w:rPr>
        <w:t>向采购单位提出质疑</w:t>
      </w:r>
      <w:r>
        <w:rPr>
          <w:rFonts w:hint="eastAsia" w:ascii="宋体" w:hAnsi="宋体" w:eastAsia="宋体" w:cs="宋体"/>
          <w:color w:val="auto"/>
          <w:sz w:val="21"/>
          <w:szCs w:val="21"/>
          <w:highlight w:val="none"/>
        </w:rPr>
        <w:t>。</w:t>
      </w:r>
    </w:p>
    <w:p w14:paraId="5D9FC042">
      <w:pPr>
        <w:tabs>
          <w:tab w:val="left" w:pos="54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color w:val="auto"/>
          <w:sz w:val="21"/>
          <w:szCs w:val="21"/>
          <w:highlight w:val="none"/>
          <w:u w:val="single"/>
        </w:rPr>
        <w:t>采购单位在收到投标供应商的书面质疑后七个工作日内作出答复，但答复的内容不得涉及商业秘密。质疑供应商对采购单位的答复不满意，可以在答复期满后十五个工作日内向采购人（集团）的内设监管职能部门投诉</w:t>
      </w:r>
      <w:r>
        <w:rPr>
          <w:rFonts w:hint="eastAsia" w:ascii="宋体" w:hAnsi="宋体" w:eastAsia="宋体" w:cs="宋体"/>
          <w:color w:val="auto"/>
          <w:sz w:val="21"/>
          <w:szCs w:val="21"/>
          <w:highlight w:val="none"/>
        </w:rPr>
        <w:t>。</w:t>
      </w:r>
    </w:p>
    <w:p w14:paraId="4B8112E3">
      <w:pPr>
        <w:tabs>
          <w:tab w:val="left" w:pos="540"/>
        </w:tabs>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  </w:t>
      </w:r>
      <w:r>
        <w:rPr>
          <w:rFonts w:hint="eastAsia" w:ascii="宋体" w:hAnsi="宋体" w:eastAsia="宋体" w:cs="宋体"/>
          <w:color w:val="auto"/>
          <w:sz w:val="21"/>
          <w:szCs w:val="21"/>
          <w:highlight w:val="none"/>
          <w:u w:val="single"/>
        </w:rPr>
        <w:t>投诉人投诉时，应提交投诉书，投诉书应当由本人或法定代表人签字盖公章，投诉书应说明具体的投诉事项及事实依据。投诉人对投诉书的真实性负责，恶意投诉将承当相应的法律和民事责任</w:t>
      </w:r>
      <w:r>
        <w:rPr>
          <w:rFonts w:hint="eastAsia" w:ascii="宋体" w:hAnsi="宋体" w:eastAsia="宋体" w:cs="宋体"/>
          <w:color w:val="auto"/>
          <w:sz w:val="21"/>
          <w:szCs w:val="21"/>
          <w:highlight w:val="none"/>
        </w:rPr>
        <w:t>。</w:t>
      </w:r>
    </w:p>
    <w:p w14:paraId="23DB8AEC">
      <w:pPr>
        <w:spacing w:beforeLines="0" w:line="360" w:lineRule="auto"/>
        <w:ind w:left="55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  </w:t>
      </w:r>
      <w:r>
        <w:rPr>
          <w:rFonts w:hint="eastAsia" w:ascii="宋体" w:hAnsi="宋体" w:eastAsia="宋体" w:cs="宋体"/>
          <w:color w:val="auto"/>
          <w:sz w:val="21"/>
          <w:szCs w:val="21"/>
          <w:highlight w:val="none"/>
          <w:u w:val="single"/>
        </w:rPr>
        <w:t>温州市交通运输集团有限公司纪检监察室负责对投标供应商反映的企业本部及所属企业在采购活动中出现的违法违规问题进行答疑回复。投标供应商认为温州市交通运输集团有限公司纪检监察室答疑回复处理结果不合法的，可以采购人或代理机构为对象依法向人民法院提起诉讼</w:t>
      </w:r>
      <w:r>
        <w:rPr>
          <w:rFonts w:hint="eastAsia" w:ascii="宋体" w:hAnsi="宋体" w:eastAsia="宋体" w:cs="宋体"/>
          <w:color w:val="auto"/>
          <w:sz w:val="21"/>
          <w:szCs w:val="21"/>
          <w:highlight w:val="none"/>
        </w:rPr>
        <w:t>。</w:t>
      </w:r>
    </w:p>
    <w:p w14:paraId="13AAF073">
      <w:pPr>
        <w:spacing w:beforeLines="0" w:line="360" w:lineRule="auto"/>
        <w:ind w:left="58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.采购代理服务费</w:t>
      </w:r>
    </w:p>
    <w:p w14:paraId="0BDE6472">
      <w:pPr>
        <w:spacing w:beforeLines="0" w:line="360" w:lineRule="auto"/>
        <w:ind w:left="58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.1本次采购代理服务费</w:t>
      </w:r>
      <w:r>
        <w:rPr>
          <w:rFonts w:hint="eastAsia" w:ascii="宋体" w:hAnsi="宋体" w:eastAsia="宋体" w:cs="宋体"/>
          <w:color w:val="auto"/>
          <w:spacing w:val="6"/>
          <w:sz w:val="21"/>
          <w:szCs w:val="21"/>
          <w:highlight w:val="none"/>
          <w:lang w:val="en-US" w:eastAsia="zh-CN"/>
        </w:rPr>
        <w:t>包干</w:t>
      </w:r>
      <w:r>
        <w:rPr>
          <w:rFonts w:hint="eastAsia" w:ascii="宋体" w:hAnsi="宋体" w:eastAsia="宋体" w:cs="宋体"/>
          <w:color w:val="auto"/>
          <w:spacing w:val="6"/>
          <w:sz w:val="21"/>
          <w:szCs w:val="21"/>
          <w:highlight w:val="none"/>
        </w:rPr>
        <w:t>按</w:t>
      </w:r>
      <w:r>
        <w:rPr>
          <w:rFonts w:hint="eastAsia" w:ascii="宋体" w:hAnsi="宋体" w:cs="宋体"/>
          <w:color w:val="auto"/>
          <w:spacing w:val="6"/>
          <w:sz w:val="21"/>
          <w:szCs w:val="21"/>
          <w:highlight w:val="none"/>
          <w:u w:val="single"/>
          <w:lang w:val="en-US" w:eastAsia="zh-CN"/>
        </w:rPr>
        <w:t>20110</w:t>
      </w:r>
      <w:r>
        <w:rPr>
          <w:rFonts w:hint="eastAsia" w:ascii="宋体" w:hAnsi="宋体" w:eastAsia="宋体" w:cs="宋体"/>
          <w:color w:val="auto"/>
          <w:spacing w:val="6"/>
          <w:sz w:val="21"/>
          <w:szCs w:val="21"/>
          <w:highlight w:val="none"/>
        </w:rPr>
        <w:t>元计取。</w:t>
      </w:r>
      <w:r>
        <w:rPr>
          <w:rFonts w:hint="eastAsia" w:ascii="宋体" w:hAnsi="宋体" w:eastAsia="宋体" w:cs="宋体"/>
          <w:color w:val="auto"/>
          <w:spacing w:val="6"/>
          <w:sz w:val="21"/>
          <w:szCs w:val="21"/>
          <w:highlight w:val="none"/>
          <w:lang w:eastAsia="zh-CN"/>
        </w:rPr>
        <w:t>投标供应商</w:t>
      </w:r>
      <w:r>
        <w:rPr>
          <w:rFonts w:hint="eastAsia" w:ascii="宋体" w:hAnsi="宋体" w:eastAsia="宋体" w:cs="宋体"/>
          <w:color w:val="auto"/>
          <w:spacing w:val="6"/>
          <w:sz w:val="21"/>
          <w:szCs w:val="21"/>
          <w:highlight w:val="none"/>
        </w:rPr>
        <w:t>在报价时应综合考虑，招标代理费由中标单位在领取中标通知书之前一次性支付给招标代理机构。采购代理服务费可以是现金、支票或汇票。</w:t>
      </w:r>
    </w:p>
    <w:p w14:paraId="0B43E2F5">
      <w:pPr>
        <w:spacing w:beforeLines="0" w:line="360" w:lineRule="auto"/>
        <w:ind w:left="580" w:hanging="555" w:hangingChars="2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8.</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解释权</w:t>
      </w:r>
    </w:p>
    <w:p w14:paraId="521FF347">
      <w:pPr>
        <w:spacing w:beforeLines="0" w:line="360" w:lineRule="auto"/>
        <w:ind w:left="558" w:leftChars="213" w:hanging="111" w:hangingChars="5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采购文件的解释权均属于采购人和采购代理机构。</w:t>
      </w:r>
    </w:p>
    <w:p w14:paraId="202E4B7A">
      <w:pPr>
        <w:spacing w:beforeLines="0" w:line="360" w:lineRule="auto"/>
        <w:rPr>
          <w:rFonts w:hint="eastAsia" w:ascii="宋体" w:hAnsi="宋体" w:eastAsia="宋体" w:cs="宋体"/>
          <w:color w:val="auto"/>
          <w:highlight w:val="none"/>
        </w:rPr>
      </w:pPr>
      <w:bookmarkStart w:id="115" w:name="_Toc185326503"/>
      <w:bookmarkStart w:id="116" w:name="_Toc351809627"/>
      <w:bookmarkStart w:id="117" w:name="_Toc208045865"/>
      <w:bookmarkStart w:id="118" w:name="_Toc230773781"/>
    </w:p>
    <w:p w14:paraId="722C0411">
      <w:pPr>
        <w:pStyle w:val="5"/>
        <w:pageBreakBefore/>
        <w:snapToGrid/>
        <w:spacing w:before="0" w:beforeLines="0"/>
        <w:jc w:val="center"/>
        <w:rPr>
          <w:rFonts w:hint="eastAsia" w:ascii="宋体" w:hAnsi="宋体" w:eastAsia="宋体" w:cs="宋体"/>
          <w:color w:val="auto"/>
          <w:sz w:val="32"/>
          <w:szCs w:val="32"/>
          <w:highlight w:val="none"/>
        </w:rPr>
      </w:pPr>
      <w:bookmarkStart w:id="119" w:name="_Toc15673"/>
      <w:bookmarkStart w:id="120" w:name="_Toc15067"/>
      <w:bookmarkStart w:id="121" w:name="_Toc7856"/>
      <w:bookmarkStart w:id="122" w:name="_Toc17525"/>
      <w:bookmarkStart w:id="123" w:name="_Toc2998"/>
      <w:bookmarkStart w:id="124" w:name="_Toc19643"/>
      <w:bookmarkStart w:id="125" w:name="_Toc22562"/>
      <w:bookmarkStart w:id="126" w:name="_Toc17740"/>
      <w:bookmarkStart w:id="127" w:name="_Toc21917"/>
      <w:r>
        <w:rPr>
          <w:rFonts w:hint="eastAsia" w:ascii="宋体" w:hAnsi="宋体" w:eastAsia="宋体" w:cs="宋体"/>
          <w:color w:val="auto"/>
          <w:sz w:val="32"/>
          <w:szCs w:val="32"/>
          <w:highlight w:val="none"/>
        </w:rPr>
        <w:t xml:space="preserve">第二部分 </w:t>
      </w:r>
      <w:bookmarkEnd w:id="115"/>
      <w:bookmarkEnd w:id="116"/>
      <w:bookmarkEnd w:id="117"/>
      <w:bookmarkEnd w:id="118"/>
      <w:r>
        <w:rPr>
          <w:rFonts w:hint="eastAsia" w:ascii="宋体" w:hAnsi="宋体" w:eastAsia="宋体" w:cs="宋体"/>
          <w:color w:val="auto"/>
          <w:sz w:val="32"/>
          <w:szCs w:val="32"/>
          <w:highlight w:val="none"/>
        </w:rPr>
        <w:t>合同主要条款</w:t>
      </w:r>
      <w:bookmarkEnd w:id="119"/>
      <w:bookmarkEnd w:id="120"/>
      <w:bookmarkEnd w:id="121"/>
      <w:bookmarkEnd w:id="122"/>
      <w:bookmarkEnd w:id="123"/>
      <w:bookmarkEnd w:id="124"/>
      <w:bookmarkEnd w:id="125"/>
      <w:bookmarkEnd w:id="126"/>
      <w:bookmarkEnd w:id="127"/>
    </w:p>
    <w:p w14:paraId="7891D27C">
      <w:pPr>
        <w:spacing w:beforeLines="0" w:line="360" w:lineRule="auto"/>
        <w:ind w:firstLine="590" w:firstLineChars="245"/>
        <w:jc w:val="center"/>
        <w:rPr>
          <w:rFonts w:hint="eastAsia" w:ascii="宋体" w:hAnsi="宋体" w:eastAsia="宋体" w:cs="宋体"/>
          <w:b/>
          <w:bCs w:val="0"/>
          <w:color w:val="auto"/>
          <w:sz w:val="24"/>
          <w:szCs w:val="24"/>
          <w:highlight w:val="none"/>
          <w:lang w:val="en-US" w:eastAsia="zh-CN"/>
        </w:rPr>
      </w:pPr>
    </w:p>
    <w:p w14:paraId="36BE50AA">
      <w:pPr>
        <w:spacing w:beforeLines="0"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注：如甲、乙双方同意，合同格式也可以按照其他形式, 具体条款以甲方为主协商确定。但合同条款的基本内容应与以下要求的内容相一致。</w:t>
      </w:r>
    </w:p>
    <w:p w14:paraId="006B5182">
      <w:pPr>
        <w:spacing w:beforeLines="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温州交运集团工程运输有限公司</w:t>
      </w:r>
    </w:p>
    <w:p w14:paraId="29F9C115">
      <w:pPr>
        <w:spacing w:beforeLines="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乙方: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olor w:val="auto"/>
          <w:spacing w:val="6"/>
          <w:sz w:val="24"/>
          <w:szCs w:val="24"/>
          <w:highlight w:val="none"/>
          <w:u w:val="single"/>
          <w:lang w:val="en-US" w:eastAsia="zh-CN"/>
        </w:rPr>
        <w:t xml:space="preserve"> </w:t>
      </w:r>
    </w:p>
    <w:p w14:paraId="2239523F">
      <w:pPr>
        <w:spacing w:beforeLines="0"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兹有甲方将</w:t>
      </w:r>
      <w:r>
        <w:rPr>
          <w:rFonts w:hint="eastAsia" w:ascii="宋体" w:hAnsi="宋体" w:cs="宋体"/>
          <w:color w:val="auto"/>
          <w:kern w:val="2"/>
          <w:sz w:val="21"/>
          <w:szCs w:val="21"/>
          <w:highlight w:val="none"/>
          <w:lang w:val="en-US" w:eastAsia="zh-CN"/>
        </w:rPr>
        <w:t>温州交运集团工程运输有限公司温州市温州湾新区瓯飞消纳场分项外包项目</w:t>
      </w:r>
      <w:r>
        <w:rPr>
          <w:rFonts w:hint="eastAsia" w:ascii="宋体" w:hAnsi="宋体" w:eastAsia="宋体" w:cs="宋体"/>
          <w:color w:val="auto"/>
          <w:szCs w:val="21"/>
          <w:highlight w:val="none"/>
        </w:rPr>
        <w:t>承包给乙方施工。为确保工程的顺利进行，明确双方职责，现经甲、乙双方协商一致，共同达成如下协议，以资共同信守执行：</w:t>
      </w:r>
    </w:p>
    <w:p w14:paraId="4A86EB55">
      <w:pPr>
        <w:spacing w:beforeLines="0"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概况：</w:t>
      </w:r>
    </w:p>
    <w:p w14:paraId="11CA0960">
      <w:pPr>
        <w:pStyle w:val="82"/>
        <w:tabs>
          <w:tab w:val="left" w:pos="7278"/>
        </w:tabs>
        <w:spacing w:beforeLines="0"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名称：</w:t>
      </w:r>
      <w:r>
        <w:rPr>
          <w:rFonts w:hint="eastAsia" w:ascii="宋体" w:hAnsi="宋体" w:cs="宋体"/>
          <w:color w:val="auto"/>
          <w:kern w:val="2"/>
          <w:sz w:val="21"/>
          <w:szCs w:val="21"/>
          <w:highlight w:val="none"/>
          <w:lang w:val="en-US" w:eastAsia="zh-CN"/>
        </w:rPr>
        <w:t>温州交运集团工程运输有限公司温州市温州湾新区瓯飞消纳场分项外包项目</w:t>
      </w:r>
    </w:p>
    <w:p w14:paraId="64BB350F">
      <w:pPr>
        <w:pStyle w:val="82"/>
        <w:tabs>
          <w:tab w:val="left" w:pos="7278"/>
        </w:tabs>
        <w:spacing w:before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地址：</w:t>
      </w:r>
      <w:r>
        <w:rPr>
          <w:rFonts w:hint="eastAsia" w:ascii="宋体" w:hAnsi="宋体" w:cs="宋体"/>
          <w:color w:val="auto"/>
          <w:kern w:val="2"/>
          <w:sz w:val="21"/>
          <w:szCs w:val="21"/>
          <w:highlight w:val="none"/>
          <w:lang w:val="en-US" w:eastAsia="zh-CN"/>
        </w:rPr>
        <w:t>温州龙湾二期1#围区土方消纳场</w:t>
      </w:r>
      <w:r>
        <w:rPr>
          <w:rFonts w:hint="eastAsia" w:ascii="宋体" w:hAnsi="宋体" w:eastAsia="宋体" w:cs="宋体"/>
          <w:color w:val="auto"/>
          <w:kern w:val="2"/>
          <w:sz w:val="21"/>
          <w:szCs w:val="21"/>
          <w:highlight w:val="none"/>
          <w:lang w:val="en-US" w:eastAsia="zh-CN"/>
        </w:rPr>
        <w:t>（以消纳场管理单位指定为准）</w:t>
      </w:r>
      <w:r>
        <w:rPr>
          <w:rFonts w:hint="eastAsia" w:ascii="宋体" w:hAnsi="宋体" w:eastAsia="宋体" w:cs="宋体"/>
          <w:color w:val="auto"/>
          <w:kern w:val="2"/>
          <w:sz w:val="21"/>
          <w:szCs w:val="21"/>
          <w:highlight w:val="none"/>
        </w:rPr>
        <w:t>。</w:t>
      </w:r>
    </w:p>
    <w:p w14:paraId="36911063">
      <w:pPr>
        <w:pStyle w:val="82"/>
        <w:tabs>
          <w:tab w:val="left" w:pos="7278"/>
        </w:tabs>
        <w:spacing w:beforeLines="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规模：</w:t>
      </w:r>
      <w:r>
        <w:rPr>
          <w:rFonts w:hint="eastAsia" w:ascii="宋体" w:hAnsi="宋体" w:cs="宋体"/>
          <w:color w:val="auto"/>
          <w:kern w:val="2"/>
          <w:sz w:val="21"/>
          <w:szCs w:val="21"/>
          <w:highlight w:val="none"/>
          <w:lang w:val="en-US" w:eastAsia="zh-CN"/>
        </w:rPr>
        <w:t>温州交运集团工程运输有限公司温州市温州湾新区瓯飞消纳场分项外包项目</w:t>
      </w:r>
      <w:r>
        <w:rPr>
          <w:rFonts w:hint="eastAsia" w:ascii="宋体" w:hAnsi="宋体" w:eastAsia="宋体" w:cs="宋体"/>
          <w:color w:val="auto"/>
          <w:kern w:val="2"/>
          <w:sz w:val="21"/>
          <w:szCs w:val="21"/>
          <w:highlight w:val="none"/>
        </w:rPr>
        <w:t>工程总</w:t>
      </w:r>
      <w:r>
        <w:rPr>
          <w:rFonts w:hint="eastAsia" w:ascii="宋体" w:hAnsi="宋体" w:cs="宋体"/>
          <w:color w:val="auto"/>
          <w:kern w:val="2"/>
          <w:sz w:val="21"/>
          <w:szCs w:val="21"/>
          <w:highlight w:val="none"/>
          <w:lang w:val="en-US" w:eastAsia="zh-CN"/>
        </w:rPr>
        <w:t>价</w:t>
      </w:r>
      <w:r>
        <w:rPr>
          <w:rFonts w:hint="eastAsia" w:ascii="宋体" w:hAnsi="宋体" w:eastAsia="宋体" w:cs="宋体"/>
          <w:color w:val="auto"/>
          <w:kern w:val="2"/>
          <w:sz w:val="21"/>
          <w:szCs w:val="21"/>
          <w:highlight w:val="none"/>
        </w:rPr>
        <w:t>暂定为</w:t>
      </w:r>
      <w:r>
        <w:rPr>
          <w:rFonts w:hint="eastAsia" w:ascii="宋体" w:hAnsi="宋体" w:cs="宋体"/>
          <w:color w:val="auto"/>
          <w:kern w:val="2"/>
          <w:sz w:val="21"/>
          <w:szCs w:val="21"/>
          <w:highlight w:val="none"/>
          <w:lang w:val="en-US" w:eastAsia="zh-CN"/>
        </w:rPr>
        <w:t>378</w:t>
      </w:r>
      <w:r>
        <w:rPr>
          <w:rFonts w:hint="eastAsia" w:ascii="宋体" w:hAnsi="宋体" w:eastAsia="宋体" w:cs="宋体"/>
          <w:color w:val="auto"/>
          <w:kern w:val="2"/>
          <w:sz w:val="21"/>
          <w:szCs w:val="21"/>
          <w:highlight w:val="none"/>
        </w:rPr>
        <w:t>万</w:t>
      </w:r>
      <w:r>
        <w:rPr>
          <w:rFonts w:hint="eastAsia" w:ascii="宋体" w:hAnsi="宋体" w:cs="宋体"/>
          <w:color w:val="auto"/>
          <w:kern w:val="2"/>
          <w:sz w:val="21"/>
          <w:szCs w:val="21"/>
          <w:highlight w:val="none"/>
          <w:lang w:val="en-US" w:eastAsia="zh-CN"/>
        </w:rPr>
        <w:t>元以内</w:t>
      </w:r>
      <w:r>
        <w:rPr>
          <w:rFonts w:hint="eastAsia" w:ascii="宋体" w:hAnsi="宋体" w:eastAsia="宋体" w:cs="宋体"/>
          <w:color w:val="auto"/>
          <w:kern w:val="2"/>
          <w:sz w:val="21"/>
          <w:szCs w:val="21"/>
          <w:highlight w:val="none"/>
        </w:rPr>
        <w:t>，以甲方与消纳场</w:t>
      </w:r>
      <w:r>
        <w:rPr>
          <w:rFonts w:hint="eastAsia" w:ascii="宋体" w:hAnsi="宋体" w:cs="宋体"/>
          <w:color w:val="auto"/>
          <w:kern w:val="2"/>
          <w:sz w:val="21"/>
          <w:szCs w:val="21"/>
          <w:highlight w:val="none"/>
          <w:lang w:val="en-US" w:eastAsia="zh-CN"/>
        </w:rPr>
        <w:t>结算</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工程</w:t>
      </w:r>
      <w:r>
        <w:rPr>
          <w:rFonts w:hint="eastAsia" w:ascii="宋体" w:hAnsi="宋体" w:eastAsia="宋体" w:cs="宋体"/>
          <w:color w:val="auto"/>
          <w:kern w:val="2"/>
          <w:sz w:val="21"/>
          <w:szCs w:val="21"/>
          <w:highlight w:val="none"/>
        </w:rPr>
        <w:t>量</w:t>
      </w:r>
      <w:r>
        <w:rPr>
          <w:rFonts w:hint="eastAsia" w:ascii="宋体" w:hAnsi="宋体" w:cs="宋体"/>
          <w:color w:val="auto"/>
          <w:kern w:val="2"/>
          <w:sz w:val="21"/>
          <w:szCs w:val="21"/>
          <w:highlight w:val="none"/>
          <w:lang w:val="en-US" w:eastAsia="zh-CN"/>
        </w:rPr>
        <w:t>乘以综合单价</w:t>
      </w:r>
      <w:r>
        <w:rPr>
          <w:rFonts w:hint="eastAsia" w:ascii="宋体" w:hAnsi="宋体" w:eastAsia="宋体" w:cs="宋体"/>
          <w:color w:val="auto"/>
          <w:kern w:val="2"/>
          <w:sz w:val="21"/>
          <w:szCs w:val="21"/>
          <w:highlight w:val="none"/>
        </w:rPr>
        <w:t>作为依据；</w:t>
      </w:r>
      <w:r>
        <w:rPr>
          <w:rFonts w:hint="eastAsia" w:ascii="宋体" w:hAnsi="宋体" w:cs="宋体"/>
          <w:color w:val="auto"/>
          <w:kern w:val="2"/>
          <w:sz w:val="21"/>
          <w:szCs w:val="21"/>
          <w:highlight w:val="none"/>
          <w:lang w:val="en-US" w:eastAsia="zh-CN"/>
        </w:rPr>
        <w:t>工期暂定为2026年1月1日至2026年12月31日，本合同施工期在达到工程总价或工期到期时终止</w:t>
      </w:r>
      <w:r>
        <w:rPr>
          <w:rFonts w:hint="eastAsia" w:ascii="宋体" w:hAnsi="宋体" w:eastAsia="宋体" w:cs="宋体"/>
          <w:color w:val="auto"/>
          <w:kern w:val="2"/>
          <w:sz w:val="21"/>
          <w:szCs w:val="21"/>
          <w:highlight w:val="none"/>
        </w:rPr>
        <w:t>。</w:t>
      </w:r>
    </w:p>
    <w:p w14:paraId="17B2D436">
      <w:pPr>
        <w:pStyle w:val="82"/>
        <w:tabs>
          <w:tab w:val="left" w:pos="7278"/>
        </w:tabs>
        <w:spacing w:beforeLines="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二、承包内容：</w:t>
      </w:r>
    </w:p>
    <w:p w14:paraId="1320AE18">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根据相关施工方案进行施工，具体内容包括：</w:t>
      </w:r>
    </w:p>
    <w:p w14:paraId="3218891E">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1、项目所需的挖掘机、推土机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钢板</w:t>
      </w:r>
      <w:r>
        <w:rPr>
          <w:rFonts w:hint="eastAsia" w:ascii="宋体" w:hAnsi="宋体" w:eastAsia="宋体" w:cs="宋体"/>
          <w:color w:val="auto"/>
          <w:sz w:val="21"/>
          <w:szCs w:val="21"/>
          <w:highlight w:val="none"/>
        </w:rPr>
        <w:t>等均委托乙方负责。</w:t>
      </w:r>
    </w:p>
    <w:p w14:paraId="798D0C03">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2、使用挖机等设备（含操作员）进行卸土和平整等所有后场工程，配备</w:t>
      </w:r>
      <w:r>
        <w:rPr>
          <w:rFonts w:hint="eastAsia" w:ascii="宋体" w:hAnsi="宋体" w:eastAsia="宋体" w:cs="宋体"/>
          <w:color w:val="auto"/>
          <w:sz w:val="21"/>
          <w:szCs w:val="21"/>
          <w:highlight w:val="none"/>
          <w:lang w:val="en-US" w:eastAsia="zh-CN"/>
        </w:rPr>
        <w:t>数量</w:t>
      </w:r>
      <w:r>
        <w:rPr>
          <w:rFonts w:hint="eastAsia" w:ascii="宋体" w:hAnsi="宋体" w:eastAsia="宋体" w:cs="宋体"/>
          <w:color w:val="auto"/>
          <w:sz w:val="21"/>
          <w:szCs w:val="21"/>
          <w:highlight w:val="none"/>
        </w:rPr>
        <w:t>足够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型号符合要求</w:t>
      </w:r>
      <w:r>
        <w:rPr>
          <w:rFonts w:hint="eastAsia" w:ascii="宋体" w:hAnsi="宋体" w:eastAsia="宋体" w:cs="宋体"/>
          <w:color w:val="auto"/>
          <w:sz w:val="21"/>
          <w:szCs w:val="21"/>
          <w:highlight w:val="none"/>
        </w:rPr>
        <w:t>的挖机</w:t>
      </w:r>
      <w:r>
        <w:rPr>
          <w:rFonts w:hint="eastAsia" w:ascii="宋体" w:hAnsi="宋体" w:eastAsia="宋体" w:cs="宋体"/>
          <w:color w:val="auto"/>
          <w:sz w:val="21"/>
          <w:szCs w:val="21"/>
          <w:highlight w:val="none"/>
          <w:lang w:val="en-US" w:eastAsia="zh-CN"/>
        </w:rPr>
        <w:t>以及钢板等设备、器材，</w:t>
      </w:r>
      <w:r>
        <w:rPr>
          <w:rFonts w:hint="eastAsia" w:ascii="宋体" w:hAnsi="宋体" w:eastAsia="宋体" w:cs="宋体"/>
          <w:color w:val="auto"/>
          <w:sz w:val="21"/>
          <w:szCs w:val="21"/>
          <w:highlight w:val="none"/>
        </w:rPr>
        <w:t>根据甲方要求及作业进程需要配给。</w:t>
      </w:r>
    </w:p>
    <w:p w14:paraId="0614ED04">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3、乙方接甲方通知后设备需24小时内到位，作业过程中出现设备故障的乙方应及时修复，如在六小时内未能修复的应重新调换挖机，乙方应按甲方要求安排挖机驾驶员上下班时间，不得迟到及早退。</w:t>
      </w:r>
    </w:p>
    <w:p w14:paraId="0C8A06E0">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三、承包范围：</w:t>
      </w:r>
    </w:p>
    <w:p w14:paraId="6DF548A1">
      <w:pPr>
        <w:pStyle w:val="82"/>
        <w:tabs>
          <w:tab w:val="left" w:pos="7278"/>
        </w:tabs>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val="en-US" w:eastAsia="zh-CN"/>
        </w:rPr>
        <w:t>分项工程</w:t>
      </w:r>
      <w:r>
        <w:rPr>
          <w:rFonts w:hint="eastAsia" w:ascii="宋体" w:hAnsi="宋体" w:eastAsia="宋体" w:cs="宋体"/>
          <w:color w:val="auto"/>
          <w:sz w:val="21"/>
          <w:szCs w:val="21"/>
          <w:highlight w:val="none"/>
        </w:rPr>
        <w:t>所需的工具，包括卸土、平整等所有后场事项工作，保证工作顺利进行。</w:t>
      </w:r>
    </w:p>
    <w:p w14:paraId="00239764">
      <w:pPr>
        <w:pStyle w:val="82"/>
        <w:tabs>
          <w:tab w:val="left" w:pos="7278"/>
        </w:tabs>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2、负责分项工程范围内所有便道铺设或维护工作。</w:t>
      </w:r>
    </w:p>
    <w:p w14:paraId="5E7B15DF">
      <w:pPr>
        <w:pStyle w:val="82"/>
        <w:tabs>
          <w:tab w:val="left" w:pos="7278"/>
        </w:tabs>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3、根据消纳场平整工作需要进行运输便道的修建以及矿渣、砖渣等材料的采购</w:t>
      </w:r>
      <w:r>
        <w:rPr>
          <w:rFonts w:hint="eastAsia" w:ascii="宋体" w:hAnsi="宋体" w:cs="宋体"/>
          <w:color w:val="auto"/>
          <w:sz w:val="21"/>
          <w:szCs w:val="21"/>
          <w:highlight w:val="none"/>
          <w:lang w:val="en-US" w:eastAsia="zh-CN"/>
        </w:rPr>
        <w:t>和平整</w:t>
      </w:r>
      <w:r>
        <w:rPr>
          <w:rFonts w:hint="eastAsia" w:ascii="宋体" w:hAnsi="宋体" w:eastAsia="宋体" w:cs="宋体"/>
          <w:color w:val="auto"/>
          <w:sz w:val="21"/>
          <w:szCs w:val="21"/>
          <w:highlight w:val="none"/>
          <w:lang w:val="en-US" w:eastAsia="zh-CN"/>
        </w:rPr>
        <w:t>。</w:t>
      </w:r>
    </w:p>
    <w:p w14:paraId="5A3CE092">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、如甲方出现车辆超吨的情况，致使甲方车辆无法进入消纳场生产作业，乙方需提供相关的设备及</w:t>
      </w:r>
      <w:r>
        <w:rPr>
          <w:rFonts w:hint="eastAsia" w:ascii="宋体" w:hAnsi="宋体" w:cs="宋体"/>
          <w:color w:val="auto"/>
          <w:sz w:val="21"/>
          <w:szCs w:val="21"/>
          <w:highlight w:val="none"/>
          <w:lang w:val="en-US" w:eastAsia="zh-CN"/>
        </w:rPr>
        <w:t>人员</w:t>
      </w:r>
      <w:r>
        <w:rPr>
          <w:rFonts w:hint="eastAsia" w:ascii="宋体" w:hAnsi="宋体" w:eastAsia="宋体" w:cs="宋体"/>
          <w:color w:val="auto"/>
          <w:sz w:val="21"/>
          <w:szCs w:val="21"/>
          <w:highlight w:val="none"/>
        </w:rPr>
        <w:t>配合</w:t>
      </w:r>
      <w:r>
        <w:rPr>
          <w:rFonts w:hint="eastAsia" w:ascii="宋体" w:hAnsi="宋体" w:cs="宋体"/>
          <w:color w:val="auto"/>
          <w:sz w:val="21"/>
          <w:szCs w:val="21"/>
          <w:highlight w:val="none"/>
          <w:lang w:val="en-US" w:eastAsia="zh-CN"/>
        </w:rPr>
        <w:t>整改</w:t>
      </w:r>
      <w:r>
        <w:rPr>
          <w:rFonts w:hint="eastAsia" w:ascii="宋体" w:hAnsi="宋体" w:eastAsia="宋体" w:cs="宋体"/>
          <w:color w:val="auto"/>
          <w:sz w:val="21"/>
          <w:szCs w:val="21"/>
          <w:highlight w:val="none"/>
        </w:rPr>
        <w:t>。</w:t>
      </w:r>
    </w:p>
    <w:p w14:paraId="71841931">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val="en-US" w:eastAsia="zh-CN"/>
        </w:rPr>
        <w:t>挖机等</w:t>
      </w:r>
      <w:r>
        <w:rPr>
          <w:rFonts w:hint="eastAsia" w:ascii="宋体" w:hAnsi="宋体" w:eastAsia="宋体" w:cs="宋体"/>
          <w:color w:val="auto"/>
          <w:sz w:val="21"/>
          <w:szCs w:val="21"/>
          <w:highlight w:val="none"/>
        </w:rPr>
        <w:t>设备的使用费、进出场费，所有有关该分项工程所需的路政、交通、环卫等外部与政府职能部门相关的全部手续、罚款、缴费等责任均由乙方自行负责完成和承担。必须遵照政府部门相关规定，否则一切责任由乙方承担。</w:t>
      </w:r>
    </w:p>
    <w:p w14:paraId="62CA53C2">
      <w:pPr>
        <w:pStyle w:val="82"/>
        <w:tabs>
          <w:tab w:val="left" w:pos="7278"/>
        </w:tabs>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6、完成甲方提出的，为完成本项目工作内容的其他合理要求。包括但不限于提供设施设备用于修建便道、砖渣及表土的短驳运输、钢板整理、钢板搬运、道路维护修缮等。</w:t>
      </w:r>
    </w:p>
    <w:p w14:paraId="39CB7C69">
      <w:pPr>
        <w:pStyle w:val="82"/>
        <w:tabs>
          <w:tab w:val="left" w:pos="7278"/>
        </w:tabs>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四、承包价格：</w:t>
      </w:r>
    </w:p>
    <w:p w14:paraId="1DF9EFF1">
      <w:pPr>
        <w:pStyle w:val="82"/>
        <w:tabs>
          <w:tab w:val="left" w:pos="7278"/>
        </w:tabs>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工程总</w:t>
      </w:r>
      <w:r>
        <w:rPr>
          <w:rFonts w:hint="eastAsia" w:ascii="宋体" w:hAnsi="宋体" w:cs="宋体"/>
          <w:color w:val="auto"/>
          <w:kern w:val="2"/>
          <w:sz w:val="21"/>
          <w:szCs w:val="21"/>
          <w:highlight w:val="none"/>
          <w:lang w:val="en-US" w:eastAsia="zh-CN"/>
        </w:rPr>
        <w:t>价</w:t>
      </w:r>
      <w:r>
        <w:rPr>
          <w:rFonts w:hint="eastAsia" w:ascii="宋体" w:hAnsi="宋体" w:eastAsia="宋体" w:cs="宋体"/>
          <w:color w:val="auto"/>
          <w:kern w:val="2"/>
          <w:sz w:val="21"/>
          <w:szCs w:val="21"/>
          <w:highlight w:val="none"/>
        </w:rPr>
        <w:t>暂定为</w:t>
      </w:r>
      <w:r>
        <w:rPr>
          <w:rFonts w:hint="eastAsia" w:ascii="宋体" w:hAnsi="宋体" w:cs="宋体"/>
          <w:color w:val="auto"/>
          <w:kern w:val="2"/>
          <w:sz w:val="21"/>
          <w:szCs w:val="21"/>
          <w:highlight w:val="none"/>
          <w:lang w:val="en-US" w:eastAsia="zh-CN"/>
        </w:rPr>
        <w:t>378</w:t>
      </w:r>
      <w:r>
        <w:rPr>
          <w:rFonts w:hint="eastAsia" w:ascii="宋体" w:hAnsi="宋体" w:eastAsia="宋体" w:cs="宋体"/>
          <w:color w:val="auto"/>
          <w:kern w:val="2"/>
          <w:sz w:val="21"/>
          <w:szCs w:val="21"/>
          <w:highlight w:val="none"/>
        </w:rPr>
        <w:t>万</w:t>
      </w:r>
      <w:r>
        <w:rPr>
          <w:rFonts w:hint="eastAsia" w:ascii="宋体" w:hAnsi="宋体" w:cs="宋体"/>
          <w:color w:val="auto"/>
          <w:kern w:val="2"/>
          <w:sz w:val="21"/>
          <w:szCs w:val="21"/>
          <w:highlight w:val="none"/>
          <w:lang w:val="en-US" w:eastAsia="zh-CN"/>
        </w:rPr>
        <w:t>元以内</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具体</w:t>
      </w:r>
      <w:r>
        <w:rPr>
          <w:rFonts w:hint="eastAsia" w:ascii="宋体" w:hAnsi="宋体" w:eastAsia="宋体" w:cs="宋体"/>
          <w:color w:val="auto"/>
          <w:kern w:val="2"/>
          <w:sz w:val="21"/>
          <w:szCs w:val="21"/>
          <w:highlight w:val="none"/>
        </w:rPr>
        <w:t>以甲方与消纳场</w:t>
      </w:r>
      <w:r>
        <w:rPr>
          <w:rFonts w:hint="eastAsia" w:ascii="宋体" w:hAnsi="宋体" w:cs="宋体"/>
          <w:color w:val="auto"/>
          <w:kern w:val="2"/>
          <w:sz w:val="21"/>
          <w:szCs w:val="21"/>
          <w:highlight w:val="none"/>
          <w:lang w:val="en-US" w:eastAsia="zh-CN"/>
        </w:rPr>
        <w:t>结算</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工程</w:t>
      </w:r>
      <w:r>
        <w:rPr>
          <w:rFonts w:hint="eastAsia" w:ascii="宋体" w:hAnsi="宋体" w:eastAsia="宋体" w:cs="宋体"/>
          <w:color w:val="auto"/>
          <w:kern w:val="2"/>
          <w:sz w:val="21"/>
          <w:szCs w:val="21"/>
          <w:highlight w:val="none"/>
        </w:rPr>
        <w:t>量</w:t>
      </w:r>
      <w:r>
        <w:rPr>
          <w:rFonts w:hint="eastAsia" w:ascii="宋体" w:hAnsi="宋体" w:cs="宋体"/>
          <w:color w:val="auto"/>
          <w:kern w:val="2"/>
          <w:sz w:val="21"/>
          <w:szCs w:val="21"/>
          <w:highlight w:val="none"/>
          <w:lang w:val="en-US" w:eastAsia="zh-CN"/>
        </w:rPr>
        <w:t>乘以综合单价</w:t>
      </w:r>
      <w:r>
        <w:rPr>
          <w:rFonts w:hint="eastAsia" w:ascii="宋体" w:hAnsi="宋体" w:eastAsia="宋体" w:cs="宋体"/>
          <w:color w:val="auto"/>
          <w:kern w:val="2"/>
          <w:sz w:val="21"/>
          <w:szCs w:val="21"/>
          <w:highlight w:val="none"/>
        </w:rPr>
        <w:t>作为依据</w:t>
      </w:r>
      <w:r>
        <w:rPr>
          <w:rFonts w:hint="eastAsia" w:ascii="宋体" w:hAnsi="宋体" w:eastAsia="宋体" w:cs="宋体"/>
          <w:color w:val="auto"/>
          <w:sz w:val="21"/>
          <w:szCs w:val="21"/>
          <w:highlight w:val="none"/>
        </w:rPr>
        <w:t>，承包全费用综合单价为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cs="宋体"/>
          <w:color w:val="auto"/>
          <w:sz w:val="21"/>
          <w:szCs w:val="21"/>
          <w:highlight w:val="none"/>
          <w:u w:val="single"/>
          <w:lang w:val="en-US" w:eastAsia="zh-CN"/>
        </w:rPr>
        <w:t>吨</w:t>
      </w:r>
      <w:r>
        <w:rPr>
          <w:rFonts w:hint="eastAsia" w:ascii="宋体" w:hAnsi="宋体" w:eastAsia="宋体" w:cs="宋体"/>
          <w:color w:val="auto"/>
          <w:sz w:val="21"/>
          <w:szCs w:val="21"/>
          <w:highlight w:val="none"/>
        </w:rPr>
        <w:t>（含税），结算时按土方消纳单位结算工程量计算（含增值税专票）。</w:t>
      </w:r>
    </w:p>
    <w:p w14:paraId="6723E9A6">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w:t>
      </w:r>
    </w:p>
    <w:p w14:paraId="3D1C7A0C">
      <w:pPr>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u w:val="none"/>
        </w:rPr>
        <w:t>为</w:t>
      </w:r>
      <w:r>
        <w:rPr>
          <w:rFonts w:hint="eastAsia" w:ascii="宋体" w:hAnsi="宋体" w:eastAsia="宋体" w:cs="宋体"/>
          <w:color w:val="auto"/>
          <w:szCs w:val="21"/>
          <w:highlight w:val="none"/>
          <w:u w:val="single"/>
        </w:rPr>
        <w:t>2026年1月1日至2026年12月31日</w:t>
      </w:r>
      <w:r>
        <w:rPr>
          <w:rFonts w:hint="eastAsia" w:ascii="宋体" w:hAnsi="宋体" w:cs="宋体"/>
          <w:color w:val="auto"/>
          <w:szCs w:val="21"/>
          <w:highlight w:val="none"/>
          <w:u w:val="single"/>
          <w:lang w:val="en-US" w:eastAsia="zh-CN"/>
        </w:rPr>
        <w:t>止，具体开工时间以甲方通知为准</w:t>
      </w:r>
      <w:r>
        <w:rPr>
          <w:rFonts w:hint="eastAsia" w:ascii="宋体" w:hAnsi="宋体" w:eastAsia="宋体" w:cs="宋体"/>
          <w:color w:val="auto"/>
          <w:szCs w:val="21"/>
          <w:highlight w:val="none"/>
        </w:rPr>
        <w:t>，因台风、大暴雨、消纳场管制或甲方原因造成工期延误的，以现场签证为准，工期给予顺延，费用不予增加；如发生重大事件，甲方有权单方中止合同。</w:t>
      </w:r>
      <w:r>
        <w:rPr>
          <w:rFonts w:ascii="Arial" w:hAnsi="宋体" w:cs="Arial"/>
          <w:bCs/>
          <w:snapToGrid w:val="0"/>
          <w:color w:val="auto"/>
          <w:kern w:val="0"/>
          <w:szCs w:val="21"/>
          <w:highlight w:val="none"/>
          <w:u w:val="single"/>
        </w:rPr>
        <w:t>本次服务期限为合同签订之日起一年，采用</w:t>
      </w:r>
      <w:r>
        <w:rPr>
          <w:rFonts w:ascii="Arial" w:hAnsi="Arial" w:cs="Arial"/>
          <w:bCs/>
          <w:snapToGrid w:val="0"/>
          <w:color w:val="auto"/>
          <w:kern w:val="0"/>
          <w:szCs w:val="21"/>
          <w:highlight w:val="none"/>
          <w:u w:val="single"/>
        </w:rPr>
        <w:t>1+1</w:t>
      </w:r>
      <w:r>
        <w:rPr>
          <w:rFonts w:ascii="Arial" w:hAnsi="宋体" w:cs="Arial"/>
          <w:bCs/>
          <w:snapToGrid w:val="0"/>
          <w:color w:val="auto"/>
          <w:kern w:val="0"/>
          <w:szCs w:val="21"/>
          <w:highlight w:val="none"/>
          <w:u w:val="single"/>
        </w:rPr>
        <w:t>模式签订合同，如当年</w:t>
      </w:r>
      <w:r>
        <w:rPr>
          <w:rFonts w:hint="eastAsia" w:ascii="Arial" w:hAnsi="宋体" w:cs="Arial"/>
          <w:bCs/>
          <w:snapToGrid w:val="0"/>
          <w:color w:val="auto"/>
          <w:kern w:val="0"/>
          <w:szCs w:val="21"/>
          <w:highlight w:val="none"/>
          <w:u w:val="single"/>
          <w:lang w:val="en-US" w:eastAsia="zh-CN"/>
        </w:rPr>
        <w:t>乙方</w:t>
      </w:r>
      <w:r>
        <w:rPr>
          <w:rFonts w:ascii="Arial" w:hAnsi="宋体" w:cs="Arial"/>
          <w:bCs/>
          <w:snapToGrid w:val="0"/>
          <w:color w:val="auto"/>
          <w:kern w:val="0"/>
          <w:szCs w:val="21"/>
          <w:highlight w:val="none"/>
          <w:u w:val="single"/>
        </w:rPr>
        <w:t>按约定时限完成任务，质量达到良好以上（含良好，以</w:t>
      </w:r>
      <w:r>
        <w:rPr>
          <w:rFonts w:hint="eastAsia" w:ascii="Arial" w:hAnsi="宋体" w:cs="Arial"/>
          <w:bCs/>
          <w:snapToGrid w:val="0"/>
          <w:color w:val="auto"/>
          <w:kern w:val="0"/>
          <w:szCs w:val="21"/>
          <w:highlight w:val="none"/>
          <w:u w:val="single"/>
          <w:lang w:val="en-US" w:eastAsia="zh-CN"/>
        </w:rPr>
        <w:t>采购人</w:t>
      </w:r>
      <w:r>
        <w:rPr>
          <w:rFonts w:ascii="Arial" w:hAnsi="宋体" w:cs="Arial"/>
          <w:bCs/>
          <w:snapToGrid w:val="0"/>
          <w:color w:val="auto"/>
          <w:kern w:val="0"/>
          <w:szCs w:val="21"/>
          <w:highlight w:val="none"/>
          <w:u w:val="single"/>
        </w:rPr>
        <w:t>的评价结果为准），</w:t>
      </w:r>
      <w:r>
        <w:rPr>
          <w:rFonts w:hint="eastAsia" w:ascii="Arial" w:hAnsi="宋体" w:cs="Arial"/>
          <w:bCs/>
          <w:snapToGrid w:val="0"/>
          <w:color w:val="auto"/>
          <w:kern w:val="0"/>
          <w:szCs w:val="21"/>
          <w:highlight w:val="none"/>
          <w:u w:val="single"/>
          <w:lang w:val="en-US" w:eastAsia="zh-CN"/>
        </w:rPr>
        <w:t>且在相同合同条款下</w:t>
      </w:r>
      <w:r>
        <w:rPr>
          <w:rFonts w:ascii="Arial" w:hAnsi="宋体" w:cs="Arial"/>
          <w:bCs/>
          <w:snapToGrid w:val="0"/>
          <w:color w:val="auto"/>
          <w:kern w:val="0"/>
          <w:szCs w:val="21"/>
          <w:highlight w:val="none"/>
          <w:u w:val="single"/>
        </w:rPr>
        <w:t>，</w:t>
      </w:r>
      <w:r>
        <w:rPr>
          <w:rFonts w:hint="eastAsia" w:ascii="Arial" w:hAnsi="宋体" w:cs="Arial"/>
          <w:bCs/>
          <w:snapToGrid w:val="0"/>
          <w:color w:val="auto"/>
          <w:kern w:val="0"/>
          <w:szCs w:val="21"/>
          <w:highlight w:val="none"/>
          <w:u w:val="single"/>
          <w:lang w:val="en-US" w:eastAsia="zh-CN"/>
        </w:rPr>
        <w:t>经双方协商同意后</w:t>
      </w:r>
      <w:r>
        <w:rPr>
          <w:rFonts w:ascii="Arial" w:hAnsi="宋体" w:cs="Arial"/>
          <w:bCs/>
          <w:snapToGrid w:val="0"/>
          <w:color w:val="auto"/>
          <w:kern w:val="0"/>
          <w:szCs w:val="21"/>
          <w:highlight w:val="none"/>
          <w:u w:val="single"/>
        </w:rPr>
        <w:t>，</w:t>
      </w:r>
      <w:r>
        <w:rPr>
          <w:rFonts w:hint="eastAsia" w:ascii="Arial" w:hAnsi="宋体" w:cs="Arial"/>
          <w:bCs/>
          <w:snapToGrid w:val="0"/>
          <w:color w:val="auto"/>
          <w:kern w:val="0"/>
          <w:szCs w:val="21"/>
          <w:highlight w:val="none"/>
          <w:u w:val="single"/>
          <w:lang w:val="en-US" w:eastAsia="zh-CN"/>
        </w:rPr>
        <w:t>允许再</w:t>
      </w:r>
      <w:r>
        <w:rPr>
          <w:rFonts w:ascii="Arial" w:hAnsi="宋体" w:cs="Arial"/>
          <w:bCs/>
          <w:snapToGrid w:val="0"/>
          <w:color w:val="auto"/>
          <w:kern w:val="0"/>
          <w:szCs w:val="21"/>
          <w:highlight w:val="none"/>
          <w:u w:val="single"/>
        </w:rPr>
        <w:t>签一年合同，直至</w:t>
      </w:r>
      <w:r>
        <w:rPr>
          <w:rFonts w:hint="eastAsia" w:ascii="Arial" w:hAnsi="宋体" w:cs="Arial"/>
          <w:bCs/>
          <w:snapToGrid w:val="0"/>
          <w:color w:val="auto"/>
          <w:kern w:val="0"/>
          <w:szCs w:val="21"/>
          <w:highlight w:val="none"/>
          <w:u w:val="single"/>
          <w:lang w:val="en-US" w:eastAsia="zh-CN"/>
        </w:rPr>
        <w:t>二年</w:t>
      </w:r>
      <w:r>
        <w:rPr>
          <w:rFonts w:ascii="Arial" w:hAnsi="宋体" w:cs="Arial"/>
          <w:bCs/>
          <w:snapToGrid w:val="0"/>
          <w:color w:val="auto"/>
          <w:kern w:val="0"/>
          <w:szCs w:val="21"/>
          <w:highlight w:val="none"/>
          <w:u w:val="single"/>
        </w:rPr>
        <w:t>结束后由</w:t>
      </w:r>
      <w:r>
        <w:rPr>
          <w:rFonts w:hint="eastAsia" w:ascii="Arial" w:hAnsi="宋体" w:cs="Arial"/>
          <w:bCs/>
          <w:snapToGrid w:val="0"/>
          <w:color w:val="auto"/>
          <w:kern w:val="0"/>
          <w:szCs w:val="21"/>
          <w:highlight w:val="none"/>
          <w:u w:val="single"/>
          <w:lang w:val="en-US" w:eastAsia="zh-CN"/>
        </w:rPr>
        <w:t>采购人</w:t>
      </w:r>
      <w:r>
        <w:rPr>
          <w:rFonts w:ascii="Arial" w:hAnsi="宋体" w:cs="Arial"/>
          <w:bCs/>
          <w:snapToGrid w:val="0"/>
          <w:color w:val="auto"/>
          <w:kern w:val="0"/>
          <w:szCs w:val="21"/>
          <w:highlight w:val="none"/>
          <w:u w:val="single"/>
        </w:rPr>
        <w:t>重新开展招标</w:t>
      </w:r>
      <w:r>
        <w:rPr>
          <w:rFonts w:hint="eastAsia" w:ascii="Arial" w:hAnsi="宋体" w:cs="Arial"/>
          <w:bCs/>
          <w:snapToGrid w:val="0"/>
          <w:color w:val="auto"/>
          <w:kern w:val="0"/>
          <w:szCs w:val="21"/>
          <w:highlight w:val="none"/>
          <w:u w:val="single"/>
          <w:lang w:eastAsia="zh-CN"/>
        </w:rPr>
        <w:t>。</w:t>
      </w:r>
    </w:p>
    <w:p w14:paraId="53FE5FDE">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cs="宋体"/>
          <w:color w:val="auto"/>
          <w:szCs w:val="21"/>
          <w:highlight w:val="none"/>
          <w:lang w:val="en-US" w:eastAsia="zh-CN"/>
        </w:rPr>
        <w:t>计价及</w:t>
      </w:r>
      <w:r>
        <w:rPr>
          <w:rFonts w:hint="eastAsia" w:ascii="宋体" w:hAnsi="宋体" w:eastAsia="宋体" w:cs="宋体"/>
          <w:color w:val="auto"/>
          <w:szCs w:val="21"/>
          <w:highlight w:val="none"/>
        </w:rPr>
        <w:t>付款方式：</w:t>
      </w:r>
    </w:p>
    <w:p w14:paraId="60879C60">
      <w:pPr>
        <w:spacing w:beforeLines="0" w:line="360" w:lineRule="auto"/>
        <w:ind w:firstLine="420" w:firstLineChars="20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以每月1日至当月最后一日为开票的量作为结算依据，乙方提供税率为税率9%增值税发票，甲方在次月15日之前结算项目进度款，完工余款、变更款项结算，须等消纳单位完工结算付款后再发起，工程总量以消纳单位结算量为准。</w:t>
      </w:r>
    </w:p>
    <w:p w14:paraId="08397925">
      <w:pPr>
        <w:spacing w:beforeLines="0"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、甲、乙双方纳税人识别号、收款账号如下：</w:t>
      </w:r>
    </w:p>
    <w:tbl>
      <w:tblPr>
        <w:tblStyle w:val="41"/>
        <w:tblW w:w="0" w:type="auto"/>
        <w:jc w:val="center"/>
        <w:shd w:val="clear" w:color="auto" w:fill="FFFFFF"/>
        <w:tblLayout w:type="fixed"/>
        <w:tblCellMar>
          <w:top w:w="0" w:type="dxa"/>
          <w:left w:w="0" w:type="dxa"/>
          <w:bottom w:w="0" w:type="dxa"/>
          <w:right w:w="0" w:type="dxa"/>
        </w:tblCellMar>
      </w:tblPr>
      <w:tblGrid>
        <w:gridCol w:w="521"/>
        <w:gridCol w:w="2376"/>
        <w:gridCol w:w="5625"/>
      </w:tblGrid>
      <w:tr w14:paraId="7155DFEC">
        <w:tblPrEx>
          <w:shd w:val="clear" w:color="auto" w:fill="FFFFFF"/>
          <w:tblCellMar>
            <w:top w:w="0" w:type="dxa"/>
            <w:left w:w="0" w:type="dxa"/>
            <w:bottom w:w="0" w:type="dxa"/>
            <w:right w:w="0" w:type="dxa"/>
          </w:tblCellMar>
        </w:tblPrEx>
        <w:trPr>
          <w:jc w:val="center"/>
        </w:trPr>
        <w:tc>
          <w:tcPr>
            <w:tcW w:w="521" w:type="dxa"/>
            <w:vMerge w:val="restart"/>
            <w:tcBorders>
              <w:top w:val="single" w:color="auto" w:sz="12" w:space="0"/>
              <w:left w:val="single" w:color="auto" w:sz="12" w:space="0"/>
              <w:bottom w:val="double" w:color="auto" w:sz="4" w:space="0"/>
              <w:right w:val="single" w:color="auto" w:sz="8" w:space="0"/>
            </w:tcBorders>
            <w:shd w:val="clear" w:color="auto" w:fill="FFFFFF"/>
            <w:noWrap w:val="0"/>
            <w:tcMar>
              <w:top w:w="0" w:type="dxa"/>
              <w:left w:w="108" w:type="dxa"/>
              <w:bottom w:w="0" w:type="dxa"/>
              <w:right w:w="108" w:type="dxa"/>
            </w:tcMar>
            <w:vAlign w:val="center"/>
          </w:tcPr>
          <w:p w14:paraId="4702D81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甲方</w:t>
            </w:r>
          </w:p>
        </w:tc>
        <w:tc>
          <w:tcPr>
            <w:tcW w:w="2376" w:type="dxa"/>
            <w:tcBorders>
              <w:top w:val="single" w:color="auto" w:sz="12"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80C10DC">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5625" w:type="dxa"/>
            <w:tcBorders>
              <w:top w:val="single" w:color="auto" w:sz="12"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7B96E97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温州交运集团工程运输有限公司</w:t>
            </w:r>
          </w:p>
        </w:tc>
      </w:tr>
      <w:tr w14:paraId="7CC31192">
        <w:tblPrEx>
          <w:shd w:val="clear" w:color="auto" w:fill="FFFFFF"/>
          <w:tblCellMar>
            <w:top w:w="0" w:type="dxa"/>
            <w:left w:w="0" w:type="dxa"/>
            <w:bottom w:w="0" w:type="dxa"/>
            <w:right w:w="0" w:type="dxa"/>
          </w:tblCellMar>
        </w:tblPrEx>
        <w:trPr>
          <w:jc w:val="center"/>
        </w:trPr>
        <w:tc>
          <w:tcPr>
            <w:tcW w:w="521" w:type="dxa"/>
            <w:vMerge w:val="continue"/>
            <w:tcBorders>
              <w:top w:val="single" w:color="auto" w:sz="12" w:space="0"/>
              <w:left w:val="single" w:color="auto" w:sz="12" w:space="0"/>
              <w:bottom w:val="double" w:color="auto" w:sz="4" w:space="0"/>
              <w:right w:val="single" w:color="auto" w:sz="8" w:space="0"/>
            </w:tcBorders>
            <w:shd w:val="clear" w:color="auto" w:fill="FFFFFF"/>
            <w:noWrap w:val="0"/>
            <w:vAlign w:val="center"/>
          </w:tcPr>
          <w:p w14:paraId="04A195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BE8A2E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纳税人身份</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7591F769">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object>
                <v:shape id="_x0000_i1025" o:spt="201" type="#_x0000_t201" style="height:18pt;width:15pt;" o:ole="t" filled="f" o:preferrelative="t" stroked="f" coordsize="21600,21600">
                  <v:path/>
                  <v:fill on="f" focussize="0,0"/>
                  <v:stroke on="f"/>
                  <v:imagedata r:id="rId13" o:title=""/>
                  <o:lock v:ext="edit" aspectratio="t"/>
                  <w10:wrap type="none"/>
                  <w10:anchorlock/>
                </v:shape>
                <w:control r:id="rId12" w:name="CheckBox16" w:shapeid="_x0000_i1025"/>
              </w:object>
            </w:r>
            <w:r>
              <w:rPr>
                <w:rFonts w:hint="eastAsia" w:ascii="宋体" w:hAnsi="宋体" w:eastAsia="宋体" w:cs="宋体"/>
                <w:color w:val="auto"/>
                <w:szCs w:val="21"/>
                <w:highlight w:val="none"/>
              </w:rPr>
              <w:t>一般纳税人    </w:t>
            </w:r>
            <w:r>
              <w:rPr>
                <w:rFonts w:hint="eastAsia" w:ascii="宋体" w:hAnsi="宋体" w:eastAsia="宋体" w:cs="宋体"/>
                <w:color w:val="auto"/>
                <w:szCs w:val="21"/>
                <w:highlight w:val="none"/>
              </w:rPr>
              <w:object>
                <v:shape id="_x0000_i1026" o:spt="201" type="#_x0000_t201" style="height:18pt;width:15pt;" o:ole="t" filled="f" o:preferrelative="t" stroked="f" coordsize="21600,21600">
                  <v:path/>
                  <v:fill on="f" focussize="0,0"/>
                  <v:stroke on="f"/>
                  <v:imagedata r:id="rId15" o:title=""/>
                  <o:lock v:ext="edit" aspectratio="t"/>
                  <w10:wrap type="none"/>
                  <w10:anchorlock/>
                </v:shape>
                <w:control r:id="rId14" w:name="CheckBox17" w:shapeid="_x0000_i1026"/>
              </w:object>
            </w:r>
            <w:r>
              <w:rPr>
                <w:rFonts w:hint="eastAsia" w:ascii="宋体" w:hAnsi="宋体" w:eastAsia="宋体" w:cs="宋体"/>
                <w:color w:val="auto"/>
                <w:szCs w:val="21"/>
                <w:highlight w:val="none"/>
              </w:rPr>
              <w:t>小规模纳税人（请勾选）</w:t>
            </w:r>
          </w:p>
        </w:tc>
      </w:tr>
      <w:tr w14:paraId="6E8E0175">
        <w:tblPrEx>
          <w:shd w:val="clear" w:color="auto" w:fill="FFFFFF"/>
          <w:tblCellMar>
            <w:top w:w="0" w:type="dxa"/>
            <w:left w:w="0" w:type="dxa"/>
            <w:bottom w:w="0" w:type="dxa"/>
            <w:right w:w="0" w:type="dxa"/>
          </w:tblCellMar>
        </w:tblPrEx>
        <w:trPr>
          <w:jc w:val="center"/>
        </w:trPr>
        <w:tc>
          <w:tcPr>
            <w:tcW w:w="521" w:type="dxa"/>
            <w:vMerge w:val="continue"/>
            <w:tcBorders>
              <w:top w:val="single" w:color="auto" w:sz="12" w:space="0"/>
              <w:left w:val="single" w:color="auto" w:sz="12" w:space="0"/>
              <w:bottom w:val="double" w:color="auto" w:sz="4" w:space="0"/>
              <w:right w:val="single" w:color="auto" w:sz="8" w:space="0"/>
            </w:tcBorders>
            <w:shd w:val="clear" w:color="auto" w:fill="FFFFFF"/>
            <w:noWrap w:val="0"/>
            <w:vAlign w:val="center"/>
          </w:tcPr>
          <w:p w14:paraId="66EB0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1FC785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349A1C74">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91330301MA2J9MR68A</w:t>
            </w:r>
          </w:p>
        </w:tc>
      </w:tr>
      <w:tr w14:paraId="1788F955">
        <w:tblPrEx>
          <w:shd w:val="clear" w:color="auto" w:fill="FFFFFF"/>
          <w:tblCellMar>
            <w:top w:w="0" w:type="dxa"/>
            <w:left w:w="0" w:type="dxa"/>
            <w:bottom w:w="0" w:type="dxa"/>
            <w:right w:w="0" w:type="dxa"/>
          </w:tblCellMar>
        </w:tblPrEx>
        <w:trPr>
          <w:jc w:val="center"/>
        </w:trPr>
        <w:tc>
          <w:tcPr>
            <w:tcW w:w="521" w:type="dxa"/>
            <w:vMerge w:val="continue"/>
            <w:tcBorders>
              <w:top w:val="single" w:color="auto" w:sz="12" w:space="0"/>
              <w:left w:val="single" w:color="auto" w:sz="12" w:space="0"/>
              <w:bottom w:val="double" w:color="auto" w:sz="4" w:space="0"/>
              <w:right w:val="single" w:color="auto" w:sz="8" w:space="0"/>
            </w:tcBorders>
            <w:shd w:val="clear" w:color="auto" w:fill="FFFFFF"/>
            <w:noWrap w:val="0"/>
            <w:vAlign w:val="center"/>
          </w:tcPr>
          <w:p w14:paraId="3C83602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5A7DE7">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址、电 话</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03B7D8AB">
            <w:pPr>
              <w:keepNext w:val="0"/>
              <w:keepLines w:val="0"/>
              <w:pageBreakBefore w:val="0"/>
              <w:suppressLineNumbers w:val="0"/>
              <w:tabs>
                <w:tab w:val="left" w:pos="4166"/>
              </w:tabs>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浙江省温州瓯江口产业集聚区灵昆街道灵蓉街66号发展大厦1号楼3楼313室。0577-86365056</w:t>
            </w:r>
          </w:p>
        </w:tc>
      </w:tr>
      <w:tr w14:paraId="3F3243D4">
        <w:tblPrEx>
          <w:shd w:val="clear" w:color="auto" w:fill="FFFFFF"/>
          <w:tblCellMar>
            <w:top w:w="0" w:type="dxa"/>
            <w:left w:w="0" w:type="dxa"/>
            <w:bottom w:w="0" w:type="dxa"/>
            <w:right w:w="0" w:type="dxa"/>
          </w:tblCellMar>
        </w:tblPrEx>
        <w:trPr>
          <w:jc w:val="center"/>
        </w:trPr>
        <w:tc>
          <w:tcPr>
            <w:tcW w:w="521" w:type="dxa"/>
            <w:vMerge w:val="continue"/>
            <w:tcBorders>
              <w:top w:val="single" w:color="auto" w:sz="12" w:space="0"/>
              <w:left w:val="single" w:color="auto" w:sz="12" w:space="0"/>
              <w:bottom w:val="double" w:color="auto" w:sz="4" w:space="0"/>
              <w:right w:val="single" w:color="auto" w:sz="8" w:space="0"/>
            </w:tcBorders>
            <w:shd w:val="clear" w:color="auto" w:fill="FFFFFF"/>
            <w:noWrap w:val="0"/>
            <w:vAlign w:val="center"/>
          </w:tcPr>
          <w:p w14:paraId="06754AB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double" w:color="auto" w:sz="4" w:space="0"/>
              <w:right w:val="single" w:color="auto" w:sz="8" w:space="0"/>
            </w:tcBorders>
            <w:shd w:val="clear" w:color="auto" w:fill="FFFFFF"/>
            <w:noWrap w:val="0"/>
            <w:tcMar>
              <w:top w:w="0" w:type="dxa"/>
              <w:left w:w="108" w:type="dxa"/>
              <w:bottom w:w="0" w:type="dxa"/>
              <w:right w:w="108" w:type="dxa"/>
            </w:tcMar>
            <w:vAlign w:val="top"/>
          </w:tcPr>
          <w:p w14:paraId="0CD4764E">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开户行及账号</w:t>
            </w:r>
          </w:p>
        </w:tc>
        <w:tc>
          <w:tcPr>
            <w:tcW w:w="5625" w:type="dxa"/>
            <w:tcBorders>
              <w:top w:val="single" w:color="auto" w:sz="8" w:space="0"/>
              <w:left w:val="single" w:color="auto" w:sz="8" w:space="0"/>
              <w:bottom w:val="double" w:color="auto" w:sz="4" w:space="0"/>
              <w:right w:val="single" w:color="auto" w:sz="12" w:space="0"/>
            </w:tcBorders>
            <w:shd w:val="clear" w:color="auto" w:fill="FFFFFF"/>
            <w:noWrap w:val="0"/>
            <w:tcMar>
              <w:top w:w="0" w:type="dxa"/>
              <w:left w:w="108" w:type="dxa"/>
              <w:bottom w:w="0" w:type="dxa"/>
              <w:right w:w="108" w:type="dxa"/>
            </w:tcMar>
            <w:vAlign w:val="top"/>
          </w:tcPr>
          <w:p w14:paraId="504E020F">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工行城南支行1203219009200208278</w:t>
            </w:r>
          </w:p>
        </w:tc>
      </w:tr>
      <w:tr w14:paraId="1CF0C86D">
        <w:tblPrEx>
          <w:shd w:val="clear" w:color="auto" w:fill="FFFFFF"/>
          <w:tblCellMar>
            <w:top w:w="0" w:type="dxa"/>
            <w:left w:w="0" w:type="dxa"/>
            <w:bottom w:w="0" w:type="dxa"/>
            <w:right w:w="0" w:type="dxa"/>
          </w:tblCellMar>
        </w:tblPrEx>
        <w:trPr>
          <w:jc w:val="center"/>
        </w:trPr>
        <w:tc>
          <w:tcPr>
            <w:tcW w:w="521" w:type="dxa"/>
            <w:vMerge w:val="restart"/>
            <w:tcBorders>
              <w:top w:val="double" w:color="auto" w:sz="4" w:space="0"/>
              <w:left w:val="single" w:color="auto" w:sz="12" w:space="0"/>
              <w:bottom w:val="single" w:color="auto" w:sz="12" w:space="0"/>
              <w:right w:val="single" w:color="auto" w:sz="8" w:space="0"/>
            </w:tcBorders>
            <w:shd w:val="clear" w:color="auto" w:fill="FFFFFF"/>
            <w:noWrap w:val="0"/>
            <w:tcMar>
              <w:top w:w="0" w:type="dxa"/>
              <w:left w:w="108" w:type="dxa"/>
              <w:bottom w:w="0" w:type="dxa"/>
              <w:right w:w="108" w:type="dxa"/>
            </w:tcMar>
            <w:vAlign w:val="center"/>
          </w:tcPr>
          <w:p w14:paraId="67A6C43D">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w:t>
            </w:r>
          </w:p>
        </w:tc>
        <w:tc>
          <w:tcPr>
            <w:tcW w:w="2376" w:type="dxa"/>
            <w:tcBorders>
              <w:top w:val="doub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5368FF6">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5625" w:type="dxa"/>
            <w:tcBorders>
              <w:top w:val="double" w:color="auto" w:sz="4"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center"/>
          </w:tcPr>
          <w:p w14:paraId="450127F9">
            <w:pPr>
              <w:keepNext w:val="0"/>
              <w:keepLines w:val="0"/>
              <w:pageBreakBefore w:val="0"/>
              <w:suppressLineNumbers w:val="0"/>
              <w:tabs>
                <w:tab w:val="left" w:pos="4166"/>
              </w:tabs>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p>
        </w:tc>
      </w:tr>
      <w:tr w14:paraId="68358BA0">
        <w:tblPrEx>
          <w:shd w:val="clear" w:color="auto" w:fill="FFFFFF"/>
          <w:tblCellMar>
            <w:top w:w="0" w:type="dxa"/>
            <w:left w:w="0" w:type="dxa"/>
            <w:bottom w:w="0" w:type="dxa"/>
            <w:right w:w="0" w:type="dxa"/>
          </w:tblCellMar>
        </w:tblPrEx>
        <w:trPr>
          <w:jc w:val="center"/>
        </w:trPr>
        <w:tc>
          <w:tcPr>
            <w:tcW w:w="521" w:type="dxa"/>
            <w:vMerge w:val="continue"/>
            <w:tcBorders>
              <w:top w:val="double" w:color="auto" w:sz="4" w:space="0"/>
              <w:left w:val="single" w:color="auto" w:sz="12" w:space="0"/>
              <w:bottom w:val="single" w:color="auto" w:sz="12" w:space="0"/>
              <w:right w:val="single" w:color="auto" w:sz="8" w:space="0"/>
            </w:tcBorders>
            <w:shd w:val="clear" w:color="auto" w:fill="FFFFFF"/>
            <w:noWrap w:val="0"/>
            <w:vAlign w:val="center"/>
          </w:tcPr>
          <w:p w14:paraId="3776319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EB9413">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纳税人身份</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06313DB1">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object>
                <v:shape id="_x0000_i1027" o:spt="201" type="#_x0000_t201" style="height:18pt;width:15pt;" o:ole="t" filled="f" o:preferrelative="t" stroked="f" coordsize="21600,21600">
                  <v:path/>
                  <v:fill on="f" focussize="0,0"/>
                  <v:stroke on="f"/>
                  <v:imagedata r:id="rId15" o:title=""/>
                  <o:lock v:ext="edit" aspectratio="t"/>
                  <w10:wrap type="none"/>
                  <w10:anchorlock/>
                </v:shape>
                <w:control r:id="rId16" w:name="CheckBox18" w:shapeid="_x0000_i1027"/>
              </w:object>
            </w:r>
            <w:r>
              <w:rPr>
                <w:rFonts w:hint="eastAsia" w:ascii="宋体" w:hAnsi="宋体" w:eastAsia="宋体" w:cs="宋体"/>
                <w:color w:val="auto"/>
                <w:szCs w:val="21"/>
                <w:highlight w:val="none"/>
              </w:rPr>
              <w:t>一般纳税人    </w:t>
            </w:r>
            <w:r>
              <w:rPr>
                <w:rFonts w:hint="eastAsia" w:ascii="宋体" w:hAnsi="宋体" w:eastAsia="宋体" w:cs="宋体"/>
                <w:color w:val="auto"/>
                <w:szCs w:val="21"/>
                <w:highlight w:val="none"/>
              </w:rPr>
              <w:object>
                <v:shape id="_x0000_i1028" o:spt="201" type="#_x0000_t201" style="height:18pt;width:15pt;" o:ole="t" filled="f" o:preferrelative="t" stroked="f" coordsize="21600,21600">
                  <v:path/>
                  <v:fill on="f" focussize="0,0"/>
                  <v:stroke on="f"/>
                  <v:imagedata r:id="rId15" o:title=""/>
                  <o:lock v:ext="edit" aspectratio="t"/>
                  <w10:wrap type="none"/>
                  <w10:anchorlock/>
                </v:shape>
                <w:control r:id="rId17" w:name="CheckBox19" w:shapeid="_x0000_i1028"/>
              </w:object>
            </w:r>
            <w:r>
              <w:rPr>
                <w:rFonts w:hint="eastAsia" w:ascii="宋体" w:hAnsi="宋体" w:eastAsia="宋体" w:cs="宋体"/>
                <w:color w:val="auto"/>
                <w:szCs w:val="21"/>
                <w:highlight w:val="none"/>
              </w:rPr>
              <w:t>小规模纳税人（请勾选）</w:t>
            </w:r>
          </w:p>
        </w:tc>
      </w:tr>
      <w:tr w14:paraId="3EA0F0D2">
        <w:tblPrEx>
          <w:shd w:val="clear" w:color="auto" w:fill="FFFFFF"/>
          <w:tblCellMar>
            <w:top w:w="0" w:type="dxa"/>
            <w:left w:w="0" w:type="dxa"/>
            <w:bottom w:w="0" w:type="dxa"/>
            <w:right w:w="0" w:type="dxa"/>
          </w:tblCellMar>
        </w:tblPrEx>
        <w:trPr>
          <w:jc w:val="center"/>
        </w:trPr>
        <w:tc>
          <w:tcPr>
            <w:tcW w:w="521" w:type="dxa"/>
            <w:vMerge w:val="continue"/>
            <w:tcBorders>
              <w:top w:val="double" w:color="auto" w:sz="4" w:space="0"/>
              <w:left w:val="single" w:color="auto" w:sz="12" w:space="0"/>
              <w:bottom w:val="single" w:color="auto" w:sz="12" w:space="0"/>
              <w:right w:val="single" w:color="auto" w:sz="8" w:space="0"/>
            </w:tcBorders>
            <w:shd w:val="clear" w:color="auto" w:fill="FFFFFF"/>
            <w:noWrap w:val="0"/>
            <w:vAlign w:val="center"/>
          </w:tcPr>
          <w:p w14:paraId="064E8A4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FA7AF3">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510EC513">
            <w:pPr>
              <w:keepNext w:val="0"/>
              <w:keepLines w:val="0"/>
              <w:pageBreakBefore w:val="0"/>
              <w:suppressLineNumbers w:val="0"/>
              <w:tabs>
                <w:tab w:val="left" w:pos="4166"/>
              </w:tabs>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p>
        </w:tc>
      </w:tr>
      <w:tr w14:paraId="0E3B9BD8">
        <w:tblPrEx>
          <w:shd w:val="clear" w:color="auto" w:fill="FFFFFF"/>
          <w:tblCellMar>
            <w:top w:w="0" w:type="dxa"/>
            <w:left w:w="0" w:type="dxa"/>
            <w:bottom w:w="0" w:type="dxa"/>
            <w:right w:w="0" w:type="dxa"/>
          </w:tblCellMar>
        </w:tblPrEx>
        <w:trPr>
          <w:trHeight w:val="480" w:hRule="atLeast"/>
          <w:jc w:val="center"/>
        </w:trPr>
        <w:tc>
          <w:tcPr>
            <w:tcW w:w="521" w:type="dxa"/>
            <w:vMerge w:val="continue"/>
            <w:tcBorders>
              <w:top w:val="double" w:color="auto" w:sz="4" w:space="0"/>
              <w:left w:val="single" w:color="auto" w:sz="12" w:space="0"/>
              <w:bottom w:val="single" w:color="auto" w:sz="12" w:space="0"/>
              <w:right w:val="single" w:color="auto" w:sz="8" w:space="0"/>
            </w:tcBorders>
            <w:shd w:val="clear" w:color="auto" w:fill="FFFFFF"/>
            <w:noWrap w:val="0"/>
            <w:vAlign w:val="center"/>
          </w:tcPr>
          <w:p w14:paraId="744CB6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4C066B2">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址、电 话</w:t>
            </w:r>
          </w:p>
        </w:tc>
        <w:tc>
          <w:tcPr>
            <w:tcW w:w="5625" w:type="dxa"/>
            <w:tcBorders>
              <w:top w:val="single" w:color="auto" w:sz="8" w:space="0"/>
              <w:left w:val="single" w:color="auto" w:sz="8" w:space="0"/>
              <w:bottom w:val="single" w:color="auto" w:sz="8" w:space="0"/>
              <w:right w:val="single" w:color="auto" w:sz="12" w:space="0"/>
            </w:tcBorders>
            <w:shd w:val="clear" w:color="auto" w:fill="FFFFFF"/>
            <w:noWrap w:val="0"/>
            <w:tcMar>
              <w:top w:w="0" w:type="dxa"/>
              <w:left w:w="108" w:type="dxa"/>
              <w:bottom w:w="0" w:type="dxa"/>
              <w:right w:w="108" w:type="dxa"/>
            </w:tcMar>
            <w:vAlign w:val="top"/>
          </w:tcPr>
          <w:p w14:paraId="014304BF">
            <w:pPr>
              <w:keepNext w:val="0"/>
              <w:keepLines w:val="0"/>
              <w:pageBreakBefore w:val="0"/>
              <w:suppressLineNumbers w:val="0"/>
              <w:tabs>
                <w:tab w:val="left" w:pos="4166"/>
              </w:tabs>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p>
        </w:tc>
      </w:tr>
      <w:tr w14:paraId="461350E0">
        <w:tblPrEx>
          <w:shd w:val="clear" w:color="auto" w:fill="FFFFFF"/>
          <w:tblCellMar>
            <w:top w:w="0" w:type="dxa"/>
            <w:left w:w="0" w:type="dxa"/>
            <w:bottom w:w="0" w:type="dxa"/>
            <w:right w:w="0" w:type="dxa"/>
          </w:tblCellMar>
        </w:tblPrEx>
        <w:trPr>
          <w:jc w:val="center"/>
        </w:trPr>
        <w:tc>
          <w:tcPr>
            <w:tcW w:w="521" w:type="dxa"/>
            <w:vMerge w:val="continue"/>
            <w:tcBorders>
              <w:top w:val="double" w:color="auto" w:sz="4" w:space="0"/>
              <w:left w:val="single" w:color="auto" w:sz="12" w:space="0"/>
              <w:bottom w:val="single" w:color="auto" w:sz="12" w:space="0"/>
              <w:right w:val="single" w:color="auto" w:sz="8" w:space="0"/>
            </w:tcBorders>
            <w:shd w:val="clear" w:color="auto" w:fill="FFFFFF"/>
            <w:noWrap w:val="0"/>
            <w:vAlign w:val="center"/>
          </w:tcPr>
          <w:p w14:paraId="0DE3ED9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400" w:lineRule="exact"/>
              <w:ind w:left="0" w:right="0"/>
              <w:jc w:val="left"/>
              <w:textAlignment w:val="auto"/>
              <w:rPr>
                <w:rFonts w:hint="eastAsia" w:ascii="宋体" w:hAnsi="宋体" w:eastAsia="宋体" w:cs="宋体"/>
                <w:color w:val="auto"/>
                <w:szCs w:val="21"/>
                <w:highlight w:val="none"/>
              </w:rPr>
            </w:pPr>
          </w:p>
        </w:tc>
        <w:tc>
          <w:tcPr>
            <w:tcW w:w="2376" w:type="dxa"/>
            <w:tcBorders>
              <w:top w:val="single" w:color="auto" w:sz="8" w:space="0"/>
              <w:left w:val="single" w:color="auto" w:sz="8" w:space="0"/>
              <w:bottom w:val="single" w:color="auto" w:sz="12" w:space="0"/>
              <w:right w:val="single" w:color="auto" w:sz="8" w:space="0"/>
            </w:tcBorders>
            <w:shd w:val="clear" w:color="auto" w:fill="FFFFFF"/>
            <w:noWrap w:val="0"/>
            <w:tcMar>
              <w:top w:w="0" w:type="dxa"/>
              <w:left w:w="108" w:type="dxa"/>
              <w:bottom w:w="0" w:type="dxa"/>
              <w:right w:w="108" w:type="dxa"/>
            </w:tcMar>
            <w:vAlign w:val="top"/>
          </w:tcPr>
          <w:p w14:paraId="1090036C">
            <w:pPr>
              <w:keepNext w:val="0"/>
              <w:keepLines w:val="0"/>
              <w:pageBreakBefore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开户行及账号</w:t>
            </w:r>
          </w:p>
        </w:tc>
        <w:tc>
          <w:tcPr>
            <w:tcW w:w="5625" w:type="dxa"/>
            <w:tcBorders>
              <w:top w:val="single" w:color="auto" w:sz="8" w:space="0"/>
              <w:left w:val="single" w:color="auto" w:sz="8" w:space="0"/>
              <w:bottom w:val="single" w:color="auto" w:sz="12" w:space="0"/>
              <w:right w:val="single" w:color="auto" w:sz="12" w:space="0"/>
            </w:tcBorders>
            <w:shd w:val="clear" w:color="auto" w:fill="FFFFFF"/>
            <w:noWrap w:val="0"/>
            <w:tcMar>
              <w:top w:w="0" w:type="dxa"/>
              <w:left w:w="108" w:type="dxa"/>
              <w:bottom w:w="0" w:type="dxa"/>
              <w:right w:w="108" w:type="dxa"/>
            </w:tcMar>
            <w:vAlign w:val="top"/>
          </w:tcPr>
          <w:p w14:paraId="736253FA">
            <w:pPr>
              <w:keepNext w:val="0"/>
              <w:keepLines w:val="0"/>
              <w:pageBreakBefore w:val="0"/>
              <w:suppressLineNumbers w:val="0"/>
              <w:tabs>
                <w:tab w:val="left" w:pos="4166"/>
              </w:tabs>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p>
        </w:tc>
      </w:tr>
    </w:tbl>
    <w:p w14:paraId="7B9C3489">
      <w:pPr>
        <w:shd w:val="clear" w:color="auto" w:fill="FFFFFF"/>
        <w:spacing w:before="0" w:beforeLines="0" w:after="0"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、本合同所涉应税行为计税方法（请勾选）</w:t>
      </w:r>
    </w:p>
    <w:p w14:paraId="5F73441D">
      <w:pPr>
        <w:shd w:val="clear" w:color="auto" w:fill="FFFFFF"/>
        <w:spacing w:before="0" w:beforeLines="0" w:after="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object>
          <v:shape id="_x0000_i1029" o:spt="201" type="#_x0000_t201" style="height:18pt;width:15pt;" o:ole="t" filled="f" o:preferrelative="t" stroked="f" coordsize="21600,21600">
            <v:path/>
            <v:fill on="f" focussize="0,0"/>
            <v:stroke on="f"/>
            <v:imagedata r:id="rId13" o:title=""/>
            <o:lock v:ext="edit" aspectratio="t"/>
            <w10:wrap type="none"/>
            <w10:anchorlock/>
          </v:shape>
          <w:control r:id="rId18" w:name="CheckBox20" w:shapeid="_x0000_i1029"/>
        </w:object>
      </w:r>
      <w:r>
        <w:rPr>
          <w:rFonts w:hint="eastAsia" w:ascii="宋体" w:hAnsi="宋体" w:eastAsia="宋体" w:cs="宋体"/>
          <w:color w:val="auto"/>
          <w:szCs w:val="21"/>
          <w:highlight w:val="none"/>
        </w:rPr>
        <w:t>一般计税方法    </w:t>
      </w:r>
      <w:r>
        <w:rPr>
          <w:rFonts w:hint="eastAsia" w:ascii="宋体" w:hAnsi="宋体" w:eastAsia="宋体" w:cs="宋体"/>
          <w:color w:val="auto"/>
          <w:szCs w:val="21"/>
          <w:highlight w:val="none"/>
        </w:rPr>
        <w:object>
          <v:shape id="_x0000_i1030" o:spt="201" type="#_x0000_t201" style="height:18pt;width:15pt;" o:ole="t" filled="f" o:preferrelative="t" stroked="f" coordsize="21600,21600">
            <v:path/>
            <v:fill on="f" focussize="0,0"/>
            <v:stroke on="f"/>
            <v:imagedata r:id="rId15" o:title=""/>
            <o:lock v:ext="edit" aspectratio="t"/>
            <w10:wrap type="none"/>
            <w10:anchorlock/>
          </v:shape>
          <w:control r:id="rId19" w:name="CheckBox21" w:shapeid="_x0000_i1030"/>
        </w:object>
      </w:r>
      <w:r>
        <w:rPr>
          <w:rFonts w:hint="eastAsia" w:ascii="宋体" w:hAnsi="宋体" w:eastAsia="宋体" w:cs="宋体"/>
          <w:color w:val="auto"/>
          <w:szCs w:val="21"/>
          <w:highlight w:val="none"/>
        </w:rPr>
        <w:t>简易计税方法</w:t>
      </w:r>
    </w:p>
    <w:p w14:paraId="5F6E0209">
      <w:pPr>
        <w:shd w:val="clear" w:color="auto" w:fill="FFFFFF"/>
        <w:snapToGrid/>
        <w:spacing w:before="0" w:beforeLines="0" w:after="0"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、乙方在向甲方请款时，应根据甲方确认的付款数额开具合法、有效、完整、准确的增值税（税率9%）（请勾选：</w:t>
      </w:r>
      <w:r>
        <w:rPr>
          <w:rFonts w:hint="eastAsia" w:ascii="宋体" w:hAnsi="宋体" w:eastAsia="宋体" w:cs="宋体"/>
          <w:color w:val="auto"/>
          <w:szCs w:val="21"/>
          <w:highlight w:val="none"/>
        </w:rPr>
        <w:object>
          <v:shape id="_x0000_i1031" o:spt="201" type="#_x0000_t201" style="height:18pt;width:15pt;" o:ole="t" filled="f" o:preferrelative="t" stroked="f" coordsize="21600,21600">
            <v:path/>
            <v:fill on="f" focussize="0,0"/>
            <v:stroke on="f"/>
            <v:imagedata r:id="rId13" o:title=""/>
            <o:lock v:ext="edit" aspectratio="t"/>
            <w10:wrap type="none"/>
            <w10:anchorlock/>
          </v:shape>
          <w:control r:id="rId20" w:name="CheckBox22" w:shapeid="_x0000_i1031"/>
        </w:object>
      </w:r>
      <w:r>
        <w:rPr>
          <w:rFonts w:hint="eastAsia" w:ascii="宋体" w:hAnsi="宋体" w:eastAsia="宋体" w:cs="宋体"/>
          <w:color w:val="auto"/>
          <w:szCs w:val="21"/>
          <w:highlight w:val="none"/>
        </w:rPr>
        <w:t>专用  </w:t>
      </w:r>
      <w:r>
        <w:rPr>
          <w:rFonts w:hint="eastAsia" w:ascii="宋体" w:hAnsi="宋体" w:eastAsia="宋体" w:cs="宋体"/>
          <w:color w:val="auto"/>
          <w:szCs w:val="21"/>
          <w:highlight w:val="none"/>
        </w:rPr>
        <w:object>
          <v:shape id="_x0000_i1032" o:spt="201" type="#_x0000_t201" style="height:18pt;width:15pt;" o:ole="t" filled="f" o:preferrelative="t" stroked="f" coordsize="21600,21600">
            <v:path/>
            <v:fill on="f" focussize="0,0"/>
            <v:stroke on="f"/>
            <v:imagedata r:id="rId15" o:title=""/>
            <o:lock v:ext="edit" aspectratio="t"/>
            <w10:wrap type="none"/>
            <w10:anchorlock/>
          </v:shape>
          <w:control r:id="rId21" w:name="CheckBox23" w:shapeid="_x0000_i1032"/>
        </w:object>
      </w:r>
      <w:r>
        <w:rPr>
          <w:rFonts w:hint="eastAsia" w:ascii="宋体" w:hAnsi="宋体" w:eastAsia="宋体" w:cs="宋体"/>
          <w:color w:val="auto"/>
          <w:szCs w:val="21"/>
          <w:highlight w:val="none"/>
        </w:rPr>
        <w:t>普通）发票。</w:t>
      </w:r>
    </w:p>
    <w:p w14:paraId="153095B8">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七、工程履约金：</w:t>
      </w:r>
    </w:p>
    <w:p w14:paraId="38496C04">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本工程质量、安全、进度履约金共计</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万元，在扣除有关处罚罚款后，完成后次月月底前一次性退还,不计息。</w:t>
      </w:r>
    </w:p>
    <w:p w14:paraId="76F3004C">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八、工程量及合同总价计算</w:t>
      </w:r>
    </w:p>
    <w:p w14:paraId="202D233F">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总价=最终结算总</w:t>
      </w:r>
      <w:r>
        <w:rPr>
          <w:rFonts w:hint="eastAsia" w:ascii="宋体" w:hAnsi="宋体" w:cs="宋体"/>
          <w:color w:val="auto"/>
          <w:szCs w:val="21"/>
          <w:highlight w:val="none"/>
          <w:lang w:val="en-US" w:eastAsia="zh-CN"/>
        </w:rPr>
        <w:t>工程量</w:t>
      </w:r>
      <w:r>
        <w:rPr>
          <w:rFonts w:hint="eastAsia" w:ascii="宋体" w:hAnsi="宋体" w:eastAsia="宋体" w:cs="宋体"/>
          <w:color w:val="auto"/>
          <w:szCs w:val="21"/>
          <w:highlight w:val="none"/>
        </w:rPr>
        <w:t>（以土方消纳单位结算的工程量为准）×含税</w:t>
      </w:r>
      <w:r>
        <w:rPr>
          <w:rFonts w:hint="eastAsia" w:ascii="宋体" w:hAnsi="宋体" w:cs="宋体"/>
          <w:color w:val="auto"/>
          <w:szCs w:val="21"/>
          <w:highlight w:val="none"/>
          <w:lang w:val="en-US" w:eastAsia="zh-CN"/>
        </w:rPr>
        <w:t>综合</w:t>
      </w:r>
      <w:r>
        <w:rPr>
          <w:rFonts w:hint="eastAsia" w:ascii="宋体" w:hAnsi="宋体" w:eastAsia="宋体" w:cs="宋体"/>
          <w:color w:val="auto"/>
          <w:szCs w:val="21"/>
          <w:highlight w:val="none"/>
        </w:rPr>
        <w:t>单价</w:t>
      </w:r>
    </w:p>
    <w:p w14:paraId="4A0A0FAC">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九、甲方的职责、权利：</w:t>
      </w:r>
    </w:p>
    <w:p w14:paraId="62D5DDB2">
      <w:pPr>
        <w:spacing w:beforeLines="0"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1、及时向乙方</w:t>
      </w:r>
      <w:r>
        <w:rPr>
          <w:rFonts w:hint="eastAsia" w:ascii="宋体" w:hAnsi="宋体" w:cs="宋体"/>
          <w:color w:val="auto"/>
          <w:szCs w:val="21"/>
          <w:highlight w:val="none"/>
          <w:lang w:val="en-US" w:eastAsia="zh-CN"/>
        </w:rPr>
        <w:t>告知</w:t>
      </w:r>
      <w:r>
        <w:rPr>
          <w:rFonts w:hint="eastAsia" w:ascii="宋体" w:hAnsi="宋体" w:eastAsia="宋体" w:cs="宋体"/>
          <w:color w:val="auto"/>
          <w:szCs w:val="21"/>
          <w:highlight w:val="none"/>
        </w:rPr>
        <w:t>有关施工</w:t>
      </w:r>
      <w:r>
        <w:rPr>
          <w:rFonts w:hint="eastAsia" w:ascii="宋体" w:hAnsi="宋体" w:cs="宋体"/>
          <w:color w:val="auto"/>
          <w:szCs w:val="21"/>
          <w:highlight w:val="none"/>
          <w:lang w:val="en-US" w:eastAsia="zh-CN"/>
        </w:rPr>
        <w:t>要求和信息。</w:t>
      </w:r>
    </w:p>
    <w:p w14:paraId="1A1260F6">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2、工程进度将出现较大幅度调整时，应及时发书面的形式通知乙方。</w:t>
      </w:r>
    </w:p>
    <w:p w14:paraId="0A0C75ED">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有权监督乙方的施工进度、质量、安全及文明施工等，有权按公司及项目部管理制度对乙方进行相关经济处罚，直接在乙方工程履约保证金中扣除，当处罚金额大于履约保证金时，结算时在工程款中扣除。</w:t>
      </w:r>
    </w:p>
    <w:p w14:paraId="0F1EE026">
      <w:pPr>
        <w:spacing w:beforeLines="0"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4、配合乙方进行相关证件审批工作，并提供相关审批所需资料。</w:t>
      </w:r>
    </w:p>
    <w:p w14:paraId="463B35FC">
      <w:pPr>
        <w:spacing w:beforeLines="0"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十、乙方工作范围及承担责任：</w:t>
      </w:r>
    </w:p>
    <w:p w14:paraId="17DDF5D2">
      <w:pPr>
        <w:spacing w:beforeLines="0"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1、负责相关主管部门的沟通，地方关系的协调处理。</w:t>
      </w:r>
    </w:p>
    <w:p w14:paraId="607C31DD">
      <w:pPr>
        <w:spacing w:beforeLines="0"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2、办理有关一切手续，费用由乙方承担。</w:t>
      </w:r>
    </w:p>
    <w:p w14:paraId="6EF57FCB">
      <w:pPr>
        <w:pStyle w:val="2"/>
        <w:spacing w:beforeLines="0"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3、乙方根据甲方标高要求对消纳场进行平整。</w:t>
      </w:r>
    </w:p>
    <w:p w14:paraId="648D2235">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4、乙方必须服从甲方现场施工人员的统一调度与指挥。</w:t>
      </w:r>
    </w:p>
    <w:p w14:paraId="41F365E7">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5、乙方所有的施工机具及人员由乙方自行安排。但现场的设备与人员必须符合规范与甲方的要求，否则无条件退场。</w:t>
      </w:r>
    </w:p>
    <w:p w14:paraId="7772D0B3">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6、乙方必须按照甲方的施工进度计划完成不得延误，施工过程中不得无故停工，如果拖延工期造成相关损失与责任均由乙方赔偿。</w:t>
      </w:r>
    </w:p>
    <w:p w14:paraId="45F17CAB">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7、乙方必须遵守甲方的安全文明施工管理规定。若由于乙方原因导致的各类安全事故，一切责任和经济损失全由乙方承担。</w:t>
      </w:r>
    </w:p>
    <w:p w14:paraId="3CD3C060">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8、乙方负责提供设备。</w:t>
      </w:r>
    </w:p>
    <w:p w14:paraId="18E28FA6">
      <w:pPr>
        <w:spacing w:beforeLines="0" w:line="360" w:lineRule="auto"/>
        <w:ind w:firstLine="40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十一、其他约定：</w:t>
      </w:r>
    </w:p>
    <w:p w14:paraId="628A1520">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1、安全帽由乙方统一配备，费用由乙方自己承担，进入施工地必须佩戴。</w:t>
      </w:r>
    </w:p>
    <w:p w14:paraId="353B440C">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2、相关车辆必须符合政府有关管理部门要求。</w:t>
      </w:r>
    </w:p>
    <w:p w14:paraId="1E861153">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3、乙方擅自或恶意解除（中止）合同或乙方严重违约的，中止合同后甲方按乙方完成工程量的60%进行结算，且甲方有权追究乙方的违约责任。</w:t>
      </w:r>
    </w:p>
    <w:p w14:paraId="4E88D4E8">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乙方须</w:t>
      </w:r>
      <w:r>
        <w:rPr>
          <w:rFonts w:hint="eastAsia" w:ascii="宋体" w:hAnsi="宋体" w:eastAsia="宋体" w:cs="宋体"/>
          <w:color w:val="auto"/>
          <w:szCs w:val="21"/>
          <w:highlight w:val="none"/>
          <w:lang w:val="en-US" w:eastAsia="zh-CN"/>
        </w:rPr>
        <w:t>做好后场卸土点车辆进出便道的规划，车辆交汇路段设置，提高后场车辆通行效率。如果因乙方规划不合理导致后场车辆堵塞</w:t>
      </w:r>
      <w:r>
        <w:rPr>
          <w:rFonts w:hint="eastAsia" w:ascii="宋体" w:hAnsi="宋体" w:cs="宋体"/>
          <w:color w:val="auto"/>
          <w:szCs w:val="21"/>
          <w:highlight w:val="none"/>
          <w:lang w:val="en-US" w:eastAsia="zh-CN"/>
        </w:rPr>
        <w:t>，或者因设备未能在规定时间内到位</w:t>
      </w:r>
      <w:r>
        <w:rPr>
          <w:rFonts w:hint="eastAsia" w:ascii="宋体" w:hAnsi="宋体" w:eastAsia="宋体" w:cs="宋体"/>
          <w:color w:val="auto"/>
          <w:szCs w:val="21"/>
          <w:highlight w:val="none"/>
          <w:lang w:val="en-US" w:eastAsia="zh-CN"/>
        </w:rPr>
        <w:t>影响</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生产的，</w:t>
      </w:r>
      <w:r>
        <w:rPr>
          <w:rFonts w:hint="eastAsia" w:ascii="宋体" w:hAnsi="宋体" w:cs="宋体"/>
          <w:color w:val="auto"/>
          <w:szCs w:val="21"/>
          <w:highlight w:val="none"/>
          <w:lang w:val="en-US" w:eastAsia="zh-CN"/>
        </w:rPr>
        <w:t>乙方应每次支付</w:t>
      </w:r>
      <w:r>
        <w:rPr>
          <w:rFonts w:hint="eastAsia" w:ascii="宋体" w:hAnsi="宋体" w:eastAsia="宋体" w:cs="宋体"/>
          <w:color w:val="auto"/>
          <w:szCs w:val="21"/>
          <w:highlight w:val="none"/>
          <w:lang w:val="en-US" w:eastAsia="zh-CN"/>
        </w:rPr>
        <w:t>1000-5000元违约金。</w:t>
      </w:r>
    </w:p>
    <w:p w14:paraId="4F8810D4">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负责后场车辆通行的全部便道钢板铺设，日常维护整理，便道要具备正常通行条件。如果后场因便道维护原因堵车，时间超过1小时支付2000元违约金，以此类推。如果便道维护原因，轮胎损耗过大，每月超过150只以上,每只支付300元违约金。</w:t>
      </w:r>
    </w:p>
    <w:p w14:paraId="08E52B47">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如需要使用砖渣用于主便道铺设及维护的，进场砖渣计入卸土总量之内；卸砖渣用于铺设挖机垫层不增加费用，消纳场内转运干土用于挖机做台子不增加费用。挖机台子使用表层土组织使用为主，场内干土等合理调用为辅，不提倡使用砖渣，乙方须合理组织。</w:t>
      </w:r>
    </w:p>
    <w:p w14:paraId="4F9FF0C7">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7、进度款按月结付，进度款工程量由甲方计算，完工余款、变更款项结算，须等消纳单位完工结算付款后再发起，工程总量以等消纳单位结算量为准。</w:t>
      </w:r>
    </w:p>
    <w:p w14:paraId="390F3E4C">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8、乙方派驻场内的管理人员1-4名，具体人选</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人数</w:t>
      </w:r>
      <w:r>
        <w:rPr>
          <w:rFonts w:hint="eastAsia" w:ascii="宋体" w:hAnsi="宋体" w:cs="宋体"/>
          <w:color w:val="auto"/>
          <w:szCs w:val="21"/>
          <w:highlight w:val="none"/>
          <w:lang w:val="en-US" w:eastAsia="zh-CN"/>
        </w:rPr>
        <w:t>需经</w:t>
      </w:r>
      <w:r>
        <w:rPr>
          <w:rFonts w:hint="eastAsia" w:ascii="宋体" w:hAnsi="宋体" w:eastAsia="宋体" w:cs="宋体"/>
          <w:color w:val="auto"/>
          <w:szCs w:val="21"/>
          <w:highlight w:val="none"/>
          <w:lang w:val="en-US" w:eastAsia="zh-CN"/>
        </w:rPr>
        <w:t>甲方</w:t>
      </w:r>
      <w:r>
        <w:rPr>
          <w:rFonts w:hint="eastAsia" w:ascii="宋体" w:hAnsi="宋体" w:cs="宋体"/>
          <w:color w:val="auto"/>
          <w:szCs w:val="21"/>
          <w:highlight w:val="none"/>
          <w:lang w:val="en-US" w:eastAsia="zh-CN"/>
        </w:rPr>
        <w:t>同意</w:t>
      </w:r>
      <w:r>
        <w:rPr>
          <w:rFonts w:hint="eastAsia" w:ascii="宋体" w:hAnsi="宋体" w:eastAsia="宋体" w:cs="宋体"/>
          <w:color w:val="auto"/>
          <w:szCs w:val="21"/>
          <w:highlight w:val="none"/>
          <w:lang w:val="en-US" w:eastAsia="zh-CN"/>
        </w:rPr>
        <w:t>，乙方负责用工工资、安全等其他全部用工事宜。</w:t>
      </w:r>
    </w:p>
    <w:p w14:paraId="038772BB">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9、按甲方及后场业主要求卸土、平整土方，标高要在指定高度，如因没有按要求控制卸土、平整土方或者没控制好卸土标高，乙方须无条件将土方按要求平整。</w:t>
      </w:r>
    </w:p>
    <w:p w14:paraId="3F18C77B">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10、工程车辆卸土不干净，单月甲方发现</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次以上，有权要求乙方支付违约金500-5000元。</w:t>
      </w:r>
    </w:p>
    <w:p w14:paraId="72C72696">
      <w:pPr>
        <w:spacing w:beforeLines="0"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11、消纳场</w:t>
      </w:r>
      <w:r>
        <w:rPr>
          <w:rFonts w:hint="eastAsia" w:ascii="宋体" w:hAnsi="宋体" w:cs="宋体"/>
          <w:color w:val="auto"/>
          <w:szCs w:val="21"/>
          <w:highlight w:val="none"/>
          <w:lang w:val="en-US" w:eastAsia="zh-CN"/>
        </w:rPr>
        <w:t>地</w:t>
      </w:r>
      <w:r>
        <w:rPr>
          <w:rFonts w:hint="eastAsia" w:ascii="宋体" w:hAnsi="宋体" w:eastAsia="宋体" w:cs="宋体"/>
          <w:color w:val="auto"/>
          <w:szCs w:val="21"/>
          <w:highlight w:val="none"/>
          <w:lang w:val="en-US" w:eastAsia="zh-CN"/>
        </w:rPr>
        <w:t>：暂定</w:t>
      </w:r>
      <w:r>
        <w:rPr>
          <w:rFonts w:hint="eastAsia" w:ascii="宋体" w:hAnsi="宋体" w:cs="宋体"/>
          <w:color w:val="auto"/>
          <w:szCs w:val="21"/>
          <w:highlight w:val="none"/>
          <w:lang w:val="en-US" w:eastAsia="zh-CN"/>
        </w:rPr>
        <w:t>温州龙湾二期1#围区土方消纳场</w:t>
      </w:r>
      <w:r>
        <w:rPr>
          <w:rFonts w:hint="eastAsia" w:ascii="宋体" w:hAnsi="宋体" w:eastAsia="宋体" w:cs="宋体"/>
          <w:color w:val="auto"/>
          <w:szCs w:val="21"/>
          <w:highlight w:val="none"/>
          <w:lang w:val="en-US" w:eastAsia="zh-CN"/>
        </w:rPr>
        <w:t>，甲方可以根据实际情况调整消纳场位置，乙方应无条件予以配合。</w:t>
      </w:r>
    </w:p>
    <w:p w14:paraId="35159F98">
      <w:pPr>
        <w:pStyle w:val="2"/>
        <w:spacing w:beforeLines="0" w:after="0" w:line="360" w:lineRule="auto"/>
        <w:ind w:left="0" w:leftChars="0" w:firstLine="420" w:firstLineChars="200"/>
        <w:rPr>
          <w:color w:val="auto"/>
          <w:highlight w:val="none"/>
        </w:rPr>
      </w:pPr>
      <w:r>
        <w:rPr>
          <w:rFonts w:hint="eastAsia" w:ascii="宋体" w:hAnsi="宋体" w:eastAsia="宋体" w:cs="宋体"/>
          <w:color w:val="auto"/>
          <w:szCs w:val="21"/>
          <w:highlight w:val="none"/>
          <w:lang w:val="en-US" w:eastAsia="zh-CN"/>
        </w:rPr>
        <w:t>12、工期届满，如卸土总量未达到合同约定总量，乙方可以提出延期申请，是否延期由甲方决定。</w:t>
      </w:r>
    </w:p>
    <w:p w14:paraId="4082CE8C">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十二、本合同自双方法定代表人或授权代表（需附授权委托书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盖章之日起生效，合同一式肆份，均具有同等法律效力，甲方贰</w:t>
      </w:r>
      <w:r>
        <w:rPr>
          <w:rFonts w:hint="eastAsia" w:ascii="宋体" w:hAnsi="宋体" w:eastAsia="宋体" w:cs="宋体"/>
          <w:color w:val="auto"/>
          <w:szCs w:val="21"/>
          <w:highlight w:val="none"/>
          <w:lang w:eastAsia="zh-CN"/>
        </w:rPr>
        <w:t>份</w:t>
      </w:r>
      <w:r>
        <w:rPr>
          <w:rFonts w:hint="eastAsia" w:ascii="宋体" w:hAnsi="宋体" w:eastAsia="宋体" w:cs="宋体"/>
          <w:color w:val="auto"/>
          <w:szCs w:val="21"/>
          <w:highlight w:val="none"/>
        </w:rPr>
        <w:t>，乙方贰份；合同双方履行完毕，自行终止。</w:t>
      </w:r>
    </w:p>
    <w:p w14:paraId="403ED810">
      <w:pPr>
        <w:spacing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十三、未尽事宜，双方另行协商。协商不成到工程所在地人民法院进行诉讼解决。</w:t>
      </w:r>
    </w:p>
    <w:p w14:paraId="72333B6A">
      <w:pPr>
        <w:pStyle w:val="85"/>
        <w:spacing w:beforeLines="0" w:line="360" w:lineRule="auto"/>
        <w:rPr>
          <w:rFonts w:hint="eastAsia" w:ascii="宋体" w:hAnsi="宋体" w:eastAsia="宋体" w:cs="宋体"/>
          <w:color w:val="auto"/>
          <w:szCs w:val="21"/>
          <w:highlight w:val="none"/>
        </w:rPr>
      </w:pPr>
    </w:p>
    <w:p w14:paraId="06D2DA71">
      <w:pPr>
        <w:pStyle w:val="85"/>
        <w:spacing w:beforeLines="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（以下无正文）</w:t>
      </w:r>
    </w:p>
    <w:p w14:paraId="021DBB18">
      <w:pPr>
        <w:pStyle w:val="85"/>
        <w:spacing w:beforeLines="0"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方：（签章）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乙  方：（签章）</w:t>
      </w:r>
    </w:p>
    <w:p w14:paraId="35DAC7BE">
      <w:pPr>
        <w:pStyle w:val="85"/>
        <w:spacing w:beforeLines="0"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代表人：                                  代表人：</w:t>
      </w:r>
    </w:p>
    <w:p w14:paraId="2AD66095">
      <w:pPr>
        <w:pStyle w:val="85"/>
        <w:spacing w:beforeLines="0"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2B4AFDE5">
      <w:pPr>
        <w:spacing w:beforeLines="0" w:line="360" w:lineRule="auto"/>
        <w:jc w:val="left"/>
        <w:rPr>
          <w:rFonts w:hint="eastAsia" w:ascii="宋体" w:hAnsi="宋体" w:eastAsia="宋体" w:cs="宋体"/>
          <w:color w:val="auto"/>
          <w:szCs w:val="21"/>
          <w:highlight w:val="none"/>
        </w:rPr>
      </w:pPr>
    </w:p>
    <w:p w14:paraId="416FCE1C">
      <w:pPr>
        <w:pStyle w:val="2"/>
        <w:spacing w:beforeLines="0" w:after="0" w:line="360" w:lineRule="auto"/>
        <w:ind w:firstLine="210"/>
        <w:rPr>
          <w:rFonts w:hint="eastAsia" w:ascii="宋体" w:hAnsi="宋体" w:eastAsia="宋体" w:cs="宋体"/>
          <w:color w:val="auto"/>
          <w:highlight w:val="none"/>
        </w:rPr>
      </w:pPr>
    </w:p>
    <w:p w14:paraId="05944F9F">
      <w:pPr>
        <w:pStyle w:val="2"/>
        <w:spacing w:beforeLines="0" w:after="0" w:line="360" w:lineRule="auto"/>
        <w:ind w:firstLine="210"/>
        <w:rPr>
          <w:rFonts w:hint="eastAsia" w:ascii="宋体" w:hAnsi="宋体" w:eastAsia="宋体" w:cs="宋体"/>
          <w:color w:val="auto"/>
          <w:highlight w:val="none"/>
        </w:rPr>
      </w:pPr>
    </w:p>
    <w:p w14:paraId="333AE2F0">
      <w:pPr>
        <w:spacing w:beforeLines="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89C58DA">
      <w:pPr>
        <w:spacing w:beforeLines="0" w:line="360" w:lineRule="auto"/>
        <w:jc w:val="righ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签订日期：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年    月     日</w:t>
      </w:r>
    </w:p>
    <w:p w14:paraId="4A2CE30B">
      <w:pPr>
        <w:spacing w:beforeLines="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D7548A6">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single"/>
        </w:rPr>
        <w:t>本合同仅为合同书样本，中标供应商需根据实际情况与采购人签订正式合同</w:t>
      </w:r>
      <w:r>
        <w:rPr>
          <w:rFonts w:hint="eastAsia" w:ascii="宋体" w:hAnsi="宋体" w:eastAsia="宋体" w:cs="宋体"/>
          <w:b/>
          <w:color w:val="auto"/>
          <w:sz w:val="21"/>
          <w:szCs w:val="21"/>
          <w:highlight w:val="none"/>
        </w:rPr>
        <w:t>。</w:t>
      </w:r>
    </w:p>
    <w:p w14:paraId="3DEB2C96">
      <w:pPr>
        <w:pStyle w:val="4"/>
        <w:spacing w:beforeLines="0" w:line="360" w:lineRule="auto"/>
        <w:rPr>
          <w:rFonts w:hint="eastAsia" w:ascii="宋体" w:hAnsi="宋体" w:eastAsia="宋体" w:cs="宋体"/>
          <w:color w:val="auto"/>
          <w:sz w:val="32"/>
          <w:szCs w:val="32"/>
          <w:highlight w:val="none"/>
        </w:rPr>
      </w:pPr>
      <w:bookmarkStart w:id="128" w:name="_Toc230773783"/>
      <w:bookmarkStart w:id="129" w:name="_Toc13320"/>
      <w:bookmarkStart w:id="130" w:name="_Toc2969"/>
    </w:p>
    <w:p w14:paraId="046147A6">
      <w:pPr>
        <w:spacing w:beforeLines="0" w:line="360" w:lineRule="auto"/>
        <w:rPr>
          <w:rFonts w:hint="eastAsia" w:ascii="宋体" w:hAnsi="宋体" w:eastAsia="宋体" w:cs="宋体"/>
          <w:color w:val="auto"/>
          <w:sz w:val="32"/>
          <w:szCs w:val="32"/>
          <w:highlight w:val="none"/>
        </w:rPr>
      </w:pPr>
    </w:p>
    <w:p w14:paraId="7D1CFCBE">
      <w:pPr>
        <w:spacing w:before="0" w:beforeLines="0" w:line="360" w:lineRule="auto"/>
        <w:rPr>
          <w:rFonts w:hint="eastAsia" w:ascii="宋体" w:hAnsi="宋体" w:eastAsia="宋体" w:cs="宋体"/>
          <w:color w:val="auto"/>
          <w:sz w:val="32"/>
          <w:szCs w:val="32"/>
          <w:highlight w:val="none"/>
        </w:rPr>
      </w:pPr>
      <w:bookmarkStart w:id="131" w:name="_Toc8684"/>
      <w:bookmarkStart w:id="132" w:name="_Toc15905"/>
      <w:bookmarkStart w:id="133" w:name="_Toc19021"/>
      <w:bookmarkStart w:id="134" w:name="_Toc1429"/>
      <w:bookmarkStart w:id="135" w:name="_Toc1300"/>
      <w:bookmarkStart w:id="136" w:name="_Toc18819"/>
      <w:bookmarkStart w:id="137" w:name="_Toc13298"/>
      <w:r>
        <w:rPr>
          <w:rFonts w:hint="eastAsia" w:ascii="宋体" w:hAnsi="宋体" w:eastAsia="宋体" w:cs="宋体"/>
          <w:color w:val="auto"/>
          <w:sz w:val="32"/>
          <w:szCs w:val="32"/>
          <w:highlight w:val="none"/>
        </w:rPr>
        <w:br w:type="page"/>
      </w:r>
    </w:p>
    <w:p w14:paraId="20D8417D">
      <w:pPr>
        <w:pStyle w:val="5"/>
        <w:pageBreakBefore/>
        <w:snapToGrid/>
        <w:spacing w:before="0" w:beforeLine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附件</w:t>
      </w:r>
      <w:bookmarkEnd w:id="128"/>
      <w:bookmarkEnd w:id="129"/>
      <w:bookmarkEnd w:id="130"/>
      <w:bookmarkEnd w:id="131"/>
      <w:bookmarkEnd w:id="132"/>
      <w:bookmarkEnd w:id="133"/>
      <w:bookmarkEnd w:id="134"/>
      <w:bookmarkEnd w:id="135"/>
      <w:bookmarkEnd w:id="136"/>
      <w:bookmarkEnd w:id="137"/>
    </w:p>
    <w:p w14:paraId="13619289">
      <w:pPr>
        <w:pStyle w:val="6"/>
        <w:spacing w:before="0" w:beforeLines="0" w:after="0" w:line="360" w:lineRule="auto"/>
        <w:rPr>
          <w:rFonts w:hint="eastAsia" w:ascii="宋体" w:hAnsi="宋体" w:eastAsia="宋体" w:cs="宋体"/>
          <w:color w:val="auto"/>
          <w:sz w:val="24"/>
          <w:szCs w:val="24"/>
          <w:highlight w:val="none"/>
        </w:rPr>
      </w:pPr>
      <w:bookmarkStart w:id="138" w:name="_Toc511308239"/>
      <w:bookmarkStart w:id="139" w:name="_Toc351809631"/>
      <w:bookmarkStart w:id="140" w:name="_Toc17012"/>
      <w:bookmarkStart w:id="141" w:name="_Toc6474"/>
      <w:bookmarkStart w:id="142" w:name="_Toc1246"/>
      <w:bookmarkStart w:id="143" w:name="_Toc232"/>
      <w:bookmarkStart w:id="144" w:name="_Toc230773784"/>
      <w:r>
        <w:rPr>
          <w:rFonts w:hint="eastAsia" w:ascii="宋体" w:hAnsi="宋体" w:eastAsia="宋体" w:cs="宋体"/>
          <w:color w:val="auto"/>
          <w:sz w:val="24"/>
          <w:szCs w:val="24"/>
          <w:highlight w:val="none"/>
        </w:rPr>
        <w:t>附件一 投标函</w:t>
      </w:r>
      <w:bookmarkEnd w:id="138"/>
      <w:bookmarkEnd w:id="139"/>
      <w:bookmarkEnd w:id="140"/>
      <w:bookmarkEnd w:id="141"/>
      <w:bookmarkEnd w:id="142"/>
      <w:bookmarkEnd w:id="143"/>
      <w:bookmarkEnd w:id="144"/>
    </w:p>
    <w:p w14:paraId="2754FF21">
      <w:pPr>
        <w:spacing w:beforeLines="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投标函</w:t>
      </w:r>
    </w:p>
    <w:p w14:paraId="5AC34352">
      <w:pPr>
        <w:spacing w:beforeLines="0" w:line="360" w:lineRule="auto"/>
        <w:rPr>
          <w:rFonts w:hint="eastAsia" w:ascii="宋体" w:hAnsi="宋体" w:eastAsia="宋体" w:cs="宋体"/>
          <w:b/>
          <w:color w:val="auto"/>
          <w:sz w:val="24"/>
          <w:highlight w:val="none"/>
        </w:rPr>
      </w:pPr>
    </w:p>
    <w:p w14:paraId="66FCE264">
      <w:pPr>
        <w:spacing w:beforeLines="0"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温州交运集</w:t>
      </w:r>
      <w:r>
        <w:rPr>
          <w:rFonts w:hint="eastAsia" w:ascii="宋体" w:hAnsi="宋体" w:eastAsia="宋体" w:cs="宋体"/>
          <w:b/>
          <w:bCs w:val="0"/>
          <w:color w:val="auto"/>
          <w:sz w:val="21"/>
          <w:szCs w:val="21"/>
          <w:highlight w:val="none"/>
        </w:rPr>
        <w:t>团</w:t>
      </w:r>
      <w:r>
        <w:rPr>
          <w:rFonts w:hint="eastAsia" w:ascii="宋体" w:hAnsi="宋体" w:eastAsia="宋体" w:cs="宋体"/>
          <w:b/>
          <w:bCs w:val="0"/>
          <w:color w:val="auto"/>
          <w:kern w:val="0"/>
          <w:sz w:val="21"/>
          <w:szCs w:val="21"/>
          <w:highlight w:val="none"/>
        </w:rPr>
        <w:t>工程运输</w:t>
      </w:r>
      <w:r>
        <w:rPr>
          <w:rFonts w:hint="eastAsia" w:ascii="宋体" w:hAnsi="宋体" w:eastAsia="宋体" w:cs="宋体"/>
          <w:b/>
          <w:bCs w:val="0"/>
          <w:color w:val="auto"/>
          <w:sz w:val="21"/>
          <w:szCs w:val="21"/>
          <w:highlight w:val="none"/>
        </w:rPr>
        <w:t>有</w:t>
      </w:r>
      <w:r>
        <w:rPr>
          <w:rFonts w:hint="eastAsia" w:ascii="宋体" w:hAnsi="宋体" w:eastAsia="宋体" w:cs="宋体"/>
          <w:b/>
          <w:color w:val="auto"/>
          <w:sz w:val="21"/>
          <w:szCs w:val="21"/>
          <w:highlight w:val="none"/>
        </w:rPr>
        <w:t>限公司：</w:t>
      </w:r>
    </w:p>
    <w:p w14:paraId="38117957">
      <w:pPr>
        <w:spacing w:beforeLines="0"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中冠工程管理咨询有限公司</w:t>
      </w:r>
      <w:r>
        <w:rPr>
          <w:rFonts w:hint="eastAsia" w:ascii="宋体" w:hAnsi="宋体" w:eastAsia="宋体" w:cs="宋体"/>
          <w:b/>
          <w:bCs/>
          <w:color w:val="auto"/>
          <w:sz w:val="21"/>
          <w:szCs w:val="21"/>
          <w:highlight w:val="none"/>
        </w:rPr>
        <w:t>：</w:t>
      </w:r>
    </w:p>
    <w:p w14:paraId="4D164BB5">
      <w:pPr>
        <w:wordWrap w:val="0"/>
        <w:spacing w:beforeLines="0"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（投标供应商名称）</w:t>
      </w:r>
      <w:r>
        <w:rPr>
          <w:rFonts w:hint="eastAsia" w:ascii="宋体" w:hAnsi="宋体" w:eastAsia="宋体" w:cs="宋体"/>
          <w:color w:val="auto"/>
          <w:sz w:val="21"/>
          <w:szCs w:val="21"/>
          <w:highlight w:val="none"/>
        </w:rPr>
        <w:t>作为投标供应商正式授权</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14:paraId="60F5808E">
      <w:pPr>
        <w:pStyle w:val="15"/>
        <w:wordWrap w:val="0"/>
        <w:spacing w:beforeLines="0"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在此提交的投标文件中，包括如下内容，并已分别密封装袋：</w:t>
      </w:r>
    </w:p>
    <w:p w14:paraId="70AFAC30">
      <w:pPr>
        <w:pStyle w:val="3"/>
        <w:wordWrap w:val="0"/>
        <w:adjustRightInd w:val="0"/>
        <w:snapToGrid/>
        <w:spacing w:beforeLines="0" w:after="0"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（—）按“投标供应商须知”要求编制投标文件的技术资信标【正本一份，副本六份】；</w:t>
      </w:r>
    </w:p>
    <w:p w14:paraId="2B108220">
      <w:pPr>
        <w:wordWrap w:val="0"/>
        <w:spacing w:beforeLines="0"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（二）按“投标供应商须知”要求编制投标文件的商务（报价）标【正本一份，副本六份】；</w:t>
      </w:r>
    </w:p>
    <w:p w14:paraId="54CD7B9F">
      <w:pPr>
        <w:wordWrap w:val="0"/>
        <w:spacing w:before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我方已完全明白采购文件的所有条款要求，并重申以下几点：</w:t>
      </w:r>
    </w:p>
    <w:p w14:paraId="40DEEE5B">
      <w:pPr>
        <w:wordWrap w:val="0"/>
        <w:spacing w:beforeLines="0" w:line="360" w:lineRule="auto"/>
        <w:ind w:left="989" w:leftChars="171"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w:t>
      </w:r>
      <w:r>
        <w:rPr>
          <w:rFonts w:hint="eastAsia" w:ascii="宋体" w:hAnsi="宋体" w:eastAsia="宋体" w:cs="宋体"/>
          <w:b/>
          <w:color w:val="auto"/>
          <w:sz w:val="21"/>
          <w:szCs w:val="21"/>
          <w:highlight w:val="none"/>
          <w:u w:val="single"/>
        </w:rPr>
        <w:t>90</w:t>
      </w:r>
      <w:r>
        <w:rPr>
          <w:rFonts w:hint="eastAsia" w:ascii="宋体" w:hAnsi="宋体" w:eastAsia="宋体" w:cs="宋体"/>
          <w:color w:val="auto"/>
          <w:sz w:val="21"/>
          <w:szCs w:val="21"/>
          <w:highlight w:val="none"/>
        </w:rPr>
        <w:t>天内有效，如中标，有效期将延至合同终止日为止；</w:t>
      </w:r>
    </w:p>
    <w:p w14:paraId="2D0D432B">
      <w:pPr>
        <w:wordWrap w:val="0"/>
        <w:spacing w:beforeLines="0" w:line="360" w:lineRule="auto"/>
        <w:ind w:left="989" w:leftChars="171"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（二）我方已详细研究了采购文件的所有内容包括修改书（如有）和所有已提供的参考资料以及有关附件，我方完全理解并同意放弃在此方面提出含糊意见或误解的一切权力；</w:t>
      </w:r>
    </w:p>
    <w:p w14:paraId="590C0F68">
      <w:pPr>
        <w:wordWrap w:val="0"/>
        <w:spacing w:beforeLines="0" w:line="360" w:lineRule="auto"/>
        <w:ind w:left="989" w:leftChars="171"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（三）我方明白并愿意在规定的开标时间之后，在投标有效期内撤回投标，其投标保证金贵方可不予退还；</w:t>
      </w:r>
    </w:p>
    <w:p w14:paraId="67411482">
      <w:pPr>
        <w:wordWrap w:val="0"/>
        <w:spacing w:beforeLines="0" w:line="360" w:lineRule="auto"/>
        <w:ind w:left="359" w:left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（四）我方同意提供按照贵方可能要求的与投标有关的一切数据或资料；</w:t>
      </w:r>
    </w:p>
    <w:p w14:paraId="38CC9E3C">
      <w:pPr>
        <w:wordWrap w:val="0"/>
        <w:spacing w:beforeLines="0" w:line="360" w:lineRule="auto"/>
        <w:ind w:left="359" w:left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（五）我方理解贵方不一定接受最低报价;</w:t>
      </w:r>
    </w:p>
    <w:p w14:paraId="54AF1313">
      <w:pPr>
        <w:wordWrap w:val="0"/>
        <w:spacing w:beforeLines="0" w:line="360" w:lineRule="auto"/>
        <w:ind w:left="989" w:leftChars="171"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（六）我方如果中标，将保证履行采购文件以及采购文件修改书（如有）中的全部责任和义务，按质、按量、按期完成《合同书》中的全部任务。</w:t>
      </w:r>
    </w:p>
    <w:p w14:paraId="05DDED87">
      <w:pPr>
        <w:wordWrap w:val="0"/>
        <w:spacing w:beforeLines="0" w:line="360" w:lineRule="auto"/>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（七）所有与本投标有关的函件请发往下列地址：</w:t>
      </w:r>
    </w:p>
    <w:p w14:paraId="4137B296">
      <w:pPr>
        <w:spacing w:beforeLines="0"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4F7BC510">
      <w:pPr>
        <w:spacing w:beforeLines="0"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00B8C4FA">
      <w:pPr>
        <w:spacing w:beforeLines="0" w:line="360" w:lineRule="auto"/>
        <w:ind w:firstLine="43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43327FA8">
      <w:pPr>
        <w:spacing w:before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0CEFF5F4">
      <w:pPr>
        <w:spacing w:before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投标供应商名称（公章）</w:t>
      </w:r>
      <w:r>
        <w:rPr>
          <w:rFonts w:hint="eastAsia" w:ascii="宋体" w:hAnsi="宋体" w:eastAsia="宋体" w:cs="宋体"/>
          <w:color w:val="auto"/>
          <w:sz w:val="21"/>
          <w:szCs w:val="21"/>
          <w:highlight w:val="none"/>
          <w:u w:val="single"/>
        </w:rPr>
        <w:t xml:space="preserve">                          </w:t>
      </w:r>
    </w:p>
    <w:p w14:paraId="75B345BE">
      <w:pPr>
        <w:spacing w:before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r>
        <w:rPr>
          <w:rFonts w:hint="eastAsia" w:ascii="宋体" w:hAnsi="宋体" w:eastAsia="宋体" w:cs="宋体"/>
          <w:color w:val="auto"/>
          <w:sz w:val="21"/>
          <w:szCs w:val="21"/>
          <w:highlight w:val="none"/>
          <w:u w:val="single"/>
        </w:rPr>
        <w:t xml:space="preserve">             </w:t>
      </w:r>
    </w:p>
    <w:p w14:paraId="58B0BD63">
      <w:pPr>
        <w:spacing w:before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393F694B">
      <w:pPr>
        <w:spacing w:beforeLines="0" w:line="360" w:lineRule="auto"/>
        <w:ind w:firstLine="0"/>
        <w:rPr>
          <w:rFonts w:hint="eastAsia" w:ascii="宋体" w:hAnsi="宋体" w:eastAsia="宋体" w:cs="宋体"/>
          <w:color w:val="auto"/>
          <w:sz w:val="21"/>
          <w:szCs w:val="21"/>
          <w:highlight w:val="none"/>
          <w:u w:val="single"/>
        </w:rPr>
      </w:pPr>
    </w:p>
    <w:p w14:paraId="6576F15E">
      <w:pPr>
        <w:spacing w:beforeLines="0" w:line="360" w:lineRule="auto"/>
        <w:ind w:firstLine="0"/>
        <w:rPr>
          <w:rFonts w:hint="eastAsia" w:ascii="宋体" w:hAnsi="宋体" w:eastAsia="宋体" w:cs="宋体"/>
          <w:color w:val="auto"/>
          <w:sz w:val="21"/>
          <w:szCs w:val="21"/>
          <w:highlight w:val="none"/>
          <w:u w:val="single"/>
        </w:rPr>
        <w:sectPr>
          <w:headerReference r:id="rId7" w:type="first"/>
          <w:footerReference r:id="rId9" w:type="first"/>
          <w:headerReference r:id="rId6" w:type="default"/>
          <w:footerReference r:id="rId8" w:type="default"/>
          <w:pgSz w:w="11906" w:h="16838"/>
          <w:pgMar w:top="1134" w:right="1134" w:bottom="1134" w:left="1134" w:header="851" w:footer="850" w:gutter="284"/>
          <w:pgBorders w:offsetFrom="page">
            <w:top w:val="none" w:sz="0" w:space="0"/>
            <w:left w:val="none" w:sz="0" w:space="0"/>
            <w:bottom w:val="none" w:sz="0" w:space="0"/>
            <w:right w:val="none" w:sz="0" w:space="0"/>
          </w:pgBorders>
          <w:cols w:space="720" w:num="1"/>
          <w:titlePg/>
          <w:docGrid w:linePitch="312" w:charSpace="0"/>
        </w:sectPr>
      </w:pPr>
    </w:p>
    <w:p w14:paraId="7E136C2D">
      <w:pPr>
        <w:pStyle w:val="6"/>
        <w:spacing w:before="0" w:beforeLines="0" w:after="0" w:line="360" w:lineRule="auto"/>
        <w:rPr>
          <w:rFonts w:hint="eastAsia" w:ascii="宋体" w:hAnsi="宋体" w:eastAsia="宋体" w:cs="宋体"/>
          <w:color w:val="auto"/>
          <w:sz w:val="24"/>
          <w:szCs w:val="24"/>
          <w:highlight w:val="none"/>
        </w:rPr>
      </w:pPr>
      <w:bookmarkStart w:id="145" w:name="_Toc218392089"/>
      <w:bookmarkStart w:id="146" w:name="_Toc195336280"/>
      <w:bookmarkStart w:id="147" w:name="_Toc511308240"/>
      <w:bookmarkStart w:id="148" w:name="_Toc29672"/>
      <w:bookmarkStart w:id="149" w:name="_Toc30748"/>
      <w:bookmarkStart w:id="150" w:name="_Toc7775"/>
      <w:bookmarkStart w:id="151" w:name="_Toc351809632"/>
      <w:bookmarkStart w:id="152" w:name="_Toc230773785"/>
      <w:bookmarkStart w:id="153" w:name="_Toc19162"/>
      <w:r>
        <w:rPr>
          <w:rFonts w:hint="eastAsia" w:ascii="宋体" w:hAnsi="宋体" w:eastAsia="宋体" w:cs="宋体"/>
          <w:color w:val="auto"/>
          <w:sz w:val="24"/>
          <w:szCs w:val="24"/>
          <w:highlight w:val="none"/>
        </w:rPr>
        <w:t>附件二</w:t>
      </w:r>
      <w:bookmarkEnd w:id="145"/>
      <w:bookmarkEnd w:id="146"/>
      <w:r>
        <w:rPr>
          <w:rFonts w:hint="eastAsia" w:ascii="宋体" w:hAnsi="宋体" w:eastAsia="宋体" w:cs="宋体"/>
          <w:color w:val="auto"/>
          <w:sz w:val="24"/>
          <w:szCs w:val="24"/>
          <w:highlight w:val="none"/>
        </w:rPr>
        <w:t xml:space="preserve"> 投标报价一览表</w:t>
      </w:r>
      <w:bookmarkEnd w:id="147"/>
      <w:bookmarkEnd w:id="148"/>
      <w:bookmarkEnd w:id="149"/>
      <w:bookmarkEnd w:id="150"/>
      <w:bookmarkEnd w:id="151"/>
      <w:bookmarkEnd w:id="152"/>
      <w:bookmarkEnd w:id="153"/>
    </w:p>
    <w:p w14:paraId="2ED79F09">
      <w:pPr>
        <w:spacing w:beforeLines="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投标报价一览表</w:t>
      </w:r>
    </w:p>
    <w:p w14:paraId="7B1F40FA">
      <w:pPr>
        <w:spacing w:beforeLines="0" w:line="360" w:lineRule="auto"/>
        <w:jc w:val="center"/>
        <w:rPr>
          <w:rFonts w:hint="eastAsia" w:ascii="宋体" w:hAnsi="宋体" w:eastAsia="宋体" w:cs="宋体"/>
          <w:b/>
          <w:bCs/>
          <w:color w:val="auto"/>
          <w:sz w:val="28"/>
          <w:highlight w:val="none"/>
        </w:rPr>
      </w:pPr>
    </w:p>
    <w:p w14:paraId="3EB7FBCE">
      <w:pPr>
        <w:spacing w:beforeLines="0" w:line="360" w:lineRule="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项目编号：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（价格单位：人民币元）</w:t>
      </w:r>
    </w:p>
    <w:tbl>
      <w:tblPr>
        <w:tblStyle w:val="4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4669"/>
        <w:gridCol w:w="2351"/>
      </w:tblGrid>
      <w:tr w14:paraId="22F7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28" w:type="dxa"/>
            <w:noWrap w:val="0"/>
            <w:vAlign w:val="center"/>
          </w:tcPr>
          <w:p w14:paraId="1DC2C9B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80" w:type="dxa"/>
            <w:noWrap w:val="0"/>
            <w:vAlign w:val="center"/>
          </w:tcPr>
          <w:p w14:paraId="721A27C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w:t>
            </w:r>
          </w:p>
        </w:tc>
        <w:tc>
          <w:tcPr>
            <w:tcW w:w="4669" w:type="dxa"/>
            <w:noWrap w:val="0"/>
            <w:vAlign w:val="center"/>
          </w:tcPr>
          <w:p w14:paraId="6072107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综合单价</w:t>
            </w:r>
            <w:r>
              <w:rPr>
                <w:rFonts w:hint="eastAsia" w:ascii="宋体" w:hAnsi="宋体" w:eastAsia="宋体" w:cs="宋体"/>
                <w:b/>
                <w:bCs/>
                <w:color w:val="auto"/>
                <w:sz w:val="21"/>
                <w:szCs w:val="21"/>
                <w:highlight w:val="none"/>
              </w:rPr>
              <w:t>报价</w:t>
            </w:r>
          </w:p>
        </w:tc>
        <w:tc>
          <w:tcPr>
            <w:tcW w:w="2351" w:type="dxa"/>
            <w:noWrap w:val="0"/>
            <w:vAlign w:val="center"/>
          </w:tcPr>
          <w:p w14:paraId="308806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36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828" w:type="dxa"/>
            <w:vMerge w:val="restart"/>
            <w:noWrap w:val="0"/>
            <w:vAlign w:val="center"/>
          </w:tcPr>
          <w:p w14:paraId="79087E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980" w:type="dxa"/>
            <w:vMerge w:val="restart"/>
            <w:noWrap w:val="0"/>
            <w:vAlign w:val="center"/>
          </w:tcPr>
          <w:p w14:paraId="28BD352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lang w:eastAsia="zh-CN"/>
              </w:rPr>
              <w:t>温州交运集团工程运输有限公司温州市温州湾新区瓯飞消纳场分项外包项目</w:t>
            </w:r>
          </w:p>
        </w:tc>
        <w:tc>
          <w:tcPr>
            <w:tcW w:w="4669" w:type="dxa"/>
            <w:noWrap w:val="0"/>
            <w:vAlign w:val="center"/>
          </w:tcPr>
          <w:p w14:paraId="60E5D1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小写：</w:t>
            </w:r>
            <w:r>
              <w:rPr>
                <w:rFonts w:hint="eastAsia" w:ascii="宋体" w:hAnsi="宋体" w:eastAsia="宋体" w:cs="宋体"/>
                <w:b w:val="0"/>
                <w:bCs w:val="0"/>
                <w:color w:val="auto"/>
                <w:kern w:val="0"/>
                <w:sz w:val="21"/>
                <w:szCs w:val="21"/>
                <w:highlight w:val="none"/>
                <w:u w:val="single"/>
                <w:lang w:bidi="ar"/>
              </w:rPr>
              <w:t xml:space="preserve">        </w:t>
            </w:r>
            <w:r>
              <w:rPr>
                <w:rFonts w:hint="eastAsia" w:ascii="宋体" w:hAnsi="宋体" w:eastAsia="宋体" w:cs="宋体"/>
                <w:b w:val="0"/>
                <w:bCs w:val="0"/>
                <w:color w:val="auto"/>
                <w:kern w:val="0"/>
                <w:sz w:val="21"/>
                <w:szCs w:val="21"/>
                <w:highlight w:val="none"/>
                <w:u w:val="none"/>
                <w:lang w:bidi="ar"/>
              </w:rPr>
              <w:t>元/</w:t>
            </w:r>
            <w:r>
              <w:rPr>
                <w:rFonts w:hint="eastAsia" w:ascii="宋体" w:hAnsi="宋体" w:eastAsia="宋体" w:cs="宋体"/>
                <w:b w:val="0"/>
                <w:bCs w:val="0"/>
                <w:color w:val="auto"/>
                <w:kern w:val="0"/>
                <w:sz w:val="21"/>
                <w:szCs w:val="21"/>
                <w:highlight w:val="none"/>
                <w:u w:val="none"/>
                <w:lang w:val="en-US" w:eastAsia="zh-CN" w:bidi="ar"/>
              </w:rPr>
              <w:t>吨</w:t>
            </w:r>
            <w:r>
              <w:rPr>
                <w:rFonts w:hint="eastAsia" w:ascii="宋体" w:hAnsi="宋体" w:eastAsia="宋体" w:cs="宋体"/>
                <w:b w:val="0"/>
                <w:bCs w:val="0"/>
                <w:color w:val="auto"/>
                <w:sz w:val="21"/>
                <w:szCs w:val="21"/>
                <w:highlight w:val="none"/>
                <w:u w:val="none"/>
              </w:rPr>
              <w:t>（小数点后</w:t>
            </w:r>
            <w:r>
              <w:rPr>
                <w:rFonts w:hint="eastAsia" w:ascii="宋体" w:hAnsi="宋体" w:cs="宋体"/>
                <w:b w:val="0"/>
                <w:bCs w:val="0"/>
                <w:color w:val="auto"/>
                <w:sz w:val="21"/>
                <w:szCs w:val="21"/>
                <w:highlight w:val="none"/>
                <w:u w:val="none"/>
                <w:lang w:val="en-US" w:eastAsia="zh-CN"/>
              </w:rPr>
              <w:t>最多</w:t>
            </w:r>
            <w:r>
              <w:rPr>
                <w:rFonts w:hint="eastAsia" w:ascii="宋体" w:hAnsi="宋体" w:eastAsia="宋体" w:cs="宋体"/>
                <w:b w:val="0"/>
                <w:bCs w:val="0"/>
                <w:color w:val="auto"/>
                <w:sz w:val="21"/>
                <w:szCs w:val="21"/>
                <w:highlight w:val="none"/>
                <w:u w:val="none"/>
              </w:rPr>
              <w:t>保留</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位）</w:t>
            </w:r>
          </w:p>
        </w:tc>
        <w:tc>
          <w:tcPr>
            <w:tcW w:w="2351" w:type="dxa"/>
            <w:vMerge w:val="restart"/>
            <w:noWrap w:val="0"/>
            <w:vAlign w:val="center"/>
          </w:tcPr>
          <w:p w14:paraId="471B77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Cs/>
                <w:color w:val="auto"/>
                <w:sz w:val="21"/>
                <w:szCs w:val="21"/>
                <w:highlight w:val="none"/>
                <w:lang w:val="en-US" w:eastAsia="zh-CN"/>
              </w:rPr>
              <w:t>总方量暂定为</w:t>
            </w:r>
            <w:r>
              <w:rPr>
                <w:rFonts w:hint="eastAsia" w:ascii="宋体" w:hAnsi="宋体" w:cs="宋体"/>
                <w:b w:val="0"/>
                <w:bCs w:val="0"/>
                <w:color w:val="auto"/>
                <w:sz w:val="21"/>
                <w:szCs w:val="21"/>
                <w:highlight w:val="none"/>
                <w:u w:val="none"/>
                <w:lang w:val="en-US" w:eastAsia="zh-CN"/>
              </w:rPr>
              <w:t>180</w:t>
            </w:r>
            <w:r>
              <w:rPr>
                <w:rFonts w:hint="eastAsia" w:ascii="宋体" w:hAnsi="宋体" w:eastAsia="宋体" w:cs="宋体"/>
                <w:b w:val="0"/>
                <w:bCs w:val="0"/>
                <w:color w:val="auto"/>
                <w:sz w:val="21"/>
                <w:szCs w:val="21"/>
                <w:highlight w:val="none"/>
                <w:u w:val="none"/>
                <w:lang w:val="en-US" w:eastAsia="zh-CN"/>
              </w:rPr>
              <w:t>万吨</w:t>
            </w:r>
            <w:r>
              <w:rPr>
                <w:rFonts w:hint="eastAsia" w:ascii="宋体" w:hAnsi="宋体" w:cs="宋体"/>
                <w:b w:val="0"/>
                <w:bCs w:val="0"/>
                <w:color w:val="auto"/>
                <w:sz w:val="21"/>
                <w:szCs w:val="21"/>
                <w:highlight w:val="none"/>
                <w:u w:val="none"/>
                <w:lang w:val="en-US" w:eastAsia="zh-CN"/>
              </w:rPr>
              <w:t>，</w:t>
            </w:r>
            <w:r>
              <w:rPr>
                <w:rFonts w:hint="eastAsia" w:ascii="宋体" w:hAnsi="宋体" w:cs="宋体"/>
                <w:color w:val="auto"/>
                <w:szCs w:val="21"/>
                <w:highlight w:val="none"/>
                <w:u w:val="none"/>
              </w:rPr>
              <w:t>最高综合单价限价</w:t>
            </w:r>
            <w:r>
              <w:rPr>
                <w:rFonts w:hint="eastAsia" w:ascii="宋体" w:hAnsi="宋体" w:cs="宋体"/>
                <w:color w:val="auto"/>
                <w:szCs w:val="21"/>
                <w:highlight w:val="none"/>
                <w:u w:val="none"/>
                <w:lang w:eastAsia="zh-CN"/>
              </w:rPr>
              <w:t>2.10</w:t>
            </w:r>
            <w:r>
              <w:rPr>
                <w:rFonts w:hint="eastAsia" w:ascii="宋体" w:hAnsi="宋体" w:cs="宋体"/>
                <w:color w:val="auto"/>
                <w:szCs w:val="21"/>
                <w:highlight w:val="none"/>
                <w:u w:val="none"/>
              </w:rPr>
              <w:t>元/吨</w:t>
            </w:r>
            <w:r>
              <w:rPr>
                <w:rFonts w:hint="eastAsia" w:ascii="宋体" w:hAnsi="宋体" w:cs="宋体"/>
                <w:color w:val="auto"/>
                <w:szCs w:val="21"/>
                <w:highlight w:val="none"/>
                <w:u w:val="none"/>
                <w:lang w:val="en-US" w:eastAsia="zh-CN"/>
              </w:rPr>
              <w:t>，</w:t>
            </w:r>
          </w:p>
          <w:p w14:paraId="54C545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rPr>
              <w:t>招标控制价</w:t>
            </w:r>
            <w:r>
              <w:rPr>
                <w:rFonts w:hint="eastAsia" w:ascii="宋体" w:hAnsi="宋体" w:cs="宋体"/>
                <w:b w:val="0"/>
                <w:bCs w:val="0"/>
                <w:color w:val="auto"/>
                <w:sz w:val="21"/>
                <w:szCs w:val="21"/>
                <w:highlight w:val="none"/>
                <w:lang w:val="en-US" w:eastAsia="zh-CN"/>
              </w:rPr>
              <w:t>为</w:t>
            </w:r>
            <w:r>
              <w:rPr>
                <w:rFonts w:hint="eastAsia" w:ascii="宋体" w:hAnsi="宋体" w:eastAsia="宋体" w:cs="宋体"/>
                <w:b w:val="0"/>
                <w:bCs w:val="0"/>
                <w:color w:val="auto"/>
                <w:sz w:val="21"/>
                <w:szCs w:val="21"/>
                <w:highlight w:val="none"/>
                <w:u w:val="none"/>
                <w:lang w:val="en-US" w:eastAsia="zh-CN"/>
              </w:rPr>
              <w:t>3780000元（</w:t>
            </w:r>
            <w:r>
              <w:rPr>
                <w:rFonts w:hint="eastAsia" w:ascii="宋体" w:hAnsi="宋体" w:cs="宋体"/>
                <w:b w:val="0"/>
                <w:bCs w:val="0"/>
                <w:color w:val="auto"/>
                <w:sz w:val="21"/>
                <w:szCs w:val="21"/>
                <w:highlight w:val="none"/>
                <w:u w:val="none"/>
                <w:lang w:val="en-US" w:eastAsia="zh-CN"/>
              </w:rPr>
              <w:t>180</w:t>
            </w:r>
            <w:r>
              <w:rPr>
                <w:rFonts w:hint="eastAsia" w:ascii="宋体" w:hAnsi="宋体" w:eastAsia="宋体" w:cs="宋体"/>
                <w:b w:val="0"/>
                <w:bCs w:val="0"/>
                <w:color w:val="auto"/>
                <w:sz w:val="21"/>
                <w:szCs w:val="21"/>
                <w:highlight w:val="none"/>
                <w:u w:val="none"/>
                <w:lang w:val="en-US" w:eastAsia="zh-CN"/>
              </w:rPr>
              <w:t>万吨*</w:t>
            </w:r>
            <w:r>
              <w:rPr>
                <w:rFonts w:hint="eastAsia" w:ascii="宋体" w:hAnsi="宋体" w:cs="宋体"/>
                <w:b w:val="0"/>
                <w:bCs w:val="0"/>
                <w:color w:val="auto"/>
                <w:sz w:val="21"/>
                <w:szCs w:val="21"/>
                <w:highlight w:val="none"/>
                <w:u w:val="none"/>
                <w:lang w:val="en-US" w:eastAsia="zh-CN"/>
              </w:rPr>
              <w:t>2.10</w:t>
            </w:r>
            <w:r>
              <w:rPr>
                <w:rFonts w:hint="eastAsia" w:ascii="宋体" w:hAnsi="宋体" w:eastAsia="宋体" w:cs="宋体"/>
                <w:b w:val="0"/>
                <w:bCs w:val="0"/>
                <w:color w:val="auto"/>
                <w:sz w:val="21"/>
                <w:szCs w:val="21"/>
                <w:highlight w:val="none"/>
                <w:u w:val="none"/>
                <w:lang w:val="en-US" w:eastAsia="zh-CN"/>
              </w:rPr>
              <w:t>元/吨）</w:t>
            </w:r>
          </w:p>
        </w:tc>
      </w:tr>
      <w:tr w14:paraId="5C56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28" w:type="dxa"/>
            <w:vMerge w:val="continue"/>
            <w:noWrap w:val="0"/>
            <w:vAlign w:val="center"/>
          </w:tcPr>
          <w:p w14:paraId="70B3DE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80" w:type="dxa"/>
            <w:vMerge w:val="continue"/>
            <w:noWrap w:val="0"/>
            <w:vAlign w:val="center"/>
          </w:tcPr>
          <w:p w14:paraId="2DD7D7E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669" w:type="dxa"/>
            <w:noWrap w:val="0"/>
            <w:vAlign w:val="center"/>
          </w:tcPr>
          <w:p w14:paraId="62552F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none"/>
                <w:lang w:bidi="ar"/>
              </w:rPr>
              <w:t>元/</w:t>
            </w:r>
            <w:r>
              <w:rPr>
                <w:rFonts w:hint="eastAsia" w:ascii="宋体" w:hAnsi="宋体" w:eastAsia="宋体" w:cs="宋体"/>
                <w:b w:val="0"/>
                <w:bCs w:val="0"/>
                <w:color w:val="auto"/>
                <w:kern w:val="0"/>
                <w:sz w:val="21"/>
                <w:szCs w:val="21"/>
                <w:highlight w:val="none"/>
                <w:u w:val="none"/>
                <w:lang w:val="en-US" w:eastAsia="zh-CN" w:bidi="ar"/>
              </w:rPr>
              <w:t>吨</w:t>
            </w:r>
          </w:p>
        </w:tc>
        <w:tc>
          <w:tcPr>
            <w:tcW w:w="2351" w:type="dxa"/>
            <w:vMerge w:val="continue"/>
            <w:noWrap w:val="0"/>
            <w:vAlign w:val="center"/>
          </w:tcPr>
          <w:p w14:paraId="6724838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r>
    </w:tbl>
    <w:p w14:paraId="515F34E1">
      <w:pPr>
        <w:spacing w:beforeLines="0" w:line="360" w:lineRule="auto"/>
        <w:ind w:left="506" w:leftChars="38" w:hanging="426" w:hangingChars="20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说明：</w:t>
      </w:r>
    </w:p>
    <w:p w14:paraId="46B4DF55">
      <w:pPr>
        <w:tabs>
          <w:tab w:val="left" w:pos="0"/>
        </w:tabs>
        <w:spacing w:beforeLines="0" w:line="360" w:lineRule="auto"/>
        <w:rPr>
          <w:rFonts w:hint="eastAsia" w:ascii="宋体" w:hAns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none"/>
        </w:rPr>
        <w:t>投标报价</w:t>
      </w:r>
      <w:r>
        <w:rPr>
          <w:rFonts w:hint="eastAsia" w:ascii="宋体" w:hAnsi="宋体" w:eastAsia="宋体" w:cs="宋体"/>
          <w:b/>
          <w:color w:val="auto"/>
          <w:sz w:val="21"/>
          <w:szCs w:val="21"/>
          <w:highlight w:val="none"/>
          <w:u w:val="none"/>
        </w:rPr>
        <w:t>是指中标</w:t>
      </w:r>
      <w:r>
        <w:rPr>
          <w:rFonts w:hint="eastAsia" w:ascii="宋体" w:hAnsi="宋体" w:eastAsia="宋体" w:cs="宋体"/>
          <w:b/>
          <w:bCs/>
          <w:color w:val="auto"/>
          <w:sz w:val="21"/>
          <w:szCs w:val="21"/>
          <w:highlight w:val="none"/>
          <w:u w:val="none"/>
        </w:rPr>
        <w:t>供应商正确地完全履行合同义务后采购人应支付给中标供应商的所有价款。</w:t>
      </w:r>
    </w:p>
    <w:p w14:paraId="43B9D768">
      <w:pPr>
        <w:pStyle w:val="3"/>
        <w:spacing w:beforeLines="0" w:after="0"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w:t>
      </w:r>
      <w:r>
        <w:rPr>
          <w:rFonts w:hint="eastAsia" w:ascii="宋体" w:hAnsi="宋体" w:eastAsia="宋体" w:cs="宋体"/>
          <w:b/>
          <w:bCs/>
          <w:color w:val="auto"/>
          <w:sz w:val="21"/>
          <w:szCs w:val="21"/>
          <w:highlight w:val="none"/>
          <w:u w:val="none"/>
        </w:rPr>
        <w:t>此栏内投标综合单价报价应与附件三“投标分项报价表”</w:t>
      </w:r>
      <w:r>
        <w:rPr>
          <w:rFonts w:hint="eastAsia" w:ascii="宋体" w:hAnsi="宋体" w:eastAsia="宋体" w:cs="宋体"/>
          <w:b/>
          <w:bCs/>
          <w:color w:val="auto"/>
          <w:sz w:val="21"/>
          <w:szCs w:val="21"/>
          <w:highlight w:val="none"/>
          <w:u w:val="none"/>
          <w:lang w:eastAsia="zh-CN"/>
        </w:rPr>
        <w:t>合计总价</w:t>
      </w:r>
      <w:r>
        <w:rPr>
          <w:rFonts w:hint="eastAsia" w:ascii="宋体" w:hAnsi="宋体" w:eastAsia="宋体" w:cs="宋体"/>
          <w:b/>
          <w:bCs/>
          <w:color w:val="auto"/>
          <w:sz w:val="21"/>
          <w:szCs w:val="21"/>
          <w:highlight w:val="none"/>
          <w:u w:val="none"/>
        </w:rPr>
        <w:t>相一致。</w:t>
      </w:r>
    </w:p>
    <w:p w14:paraId="5C5ACA51">
      <w:pPr>
        <w:pStyle w:val="3"/>
        <w:spacing w:beforeLines="0"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none"/>
        </w:rPr>
        <w:t>3.▲不提供投标报价一览表将视为没有实质性响应采购文件</w:t>
      </w:r>
      <w:r>
        <w:rPr>
          <w:rFonts w:hint="eastAsia" w:ascii="宋体" w:hAnsi="宋体" w:eastAsia="宋体" w:cs="宋体"/>
          <w:b/>
          <w:color w:val="auto"/>
          <w:sz w:val="21"/>
          <w:szCs w:val="21"/>
          <w:highlight w:val="none"/>
        </w:rPr>
        <w:t>。</w:t>
      </w:r>
    </w:p>
    <w:p w14:paraId="2A78254D">
      <w:pPr>
        <w:spacing w:beforeLines="0" w:line="360" w:lineRule="auto"/>
        <w:ind w:left="527" w:leftChars="5" w:hanging="517" w:hangingChars="245"/>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投标报价综合单价超过最高综合单价限价的作否决投标处理。</w:t>
      </w:r>
    </w:p>
    <w:p w14:paraId="4768FFCC">
      <w:pPr>
        <w:spacing w:beforeLines="0" w:line="360" w:lineRule="auto"/>
        <w:ind w:firstLine="9030" w:firstLineChars="4300"/>
        <w:rPr>
          <w:rFonts w:hint="eastAsia" w:ascii="宋体" w:hAnsi="宋体" w:eastAsia="宋体" w:cs="宋体"/>
          <w:color w:val="auto"/>
          <w:sz w:val="21"/>
          <w:szCs w:val="21"/>
          <w:highlight w:val="none"/>
        </w:rPr>
      </w:pPr>
    </w:p>
    <w:p w14:paraId="6F4FD565">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32E42442">
      <w:pPr>
        <w:spacing w:beforeLines="0"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法定代表人或授权代表（签字或盖章）：</w:t>
      </w:r>
      <w:r>
        <w:rPr>
          <w:rFonts w:hint="eastAsia" w:ascii="宋体" w:hAnsi="宋体" w:cs="宋体"/>
          <w:color w:val="auto"/>
          <w:sz w:val="21"/>
          <w:szCs w:val="21"/>
          <w:highlight w:val="none"/>
          <w:u w:val="single"/>
          <w:lang w:val="en-US" w:eastAsia="zh-CN"/>
        </w:rPr>
        <w:t xml:space="preserve">          </w:t>
      </w:r>
    </w:p>
    <w:p w14:paraId="7D05812C">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36AE2A0E">
      <w:pPr>
        <w:pStyle w:val="2"/>
        <w:spacing w:beforeLines="0" w:after="0" w:line="360" w:lineRule="auto"/>
        <w:ind w:firstLine="210"/>
        <w:rPr>
          <w:rFonts w:hint="eastAsia" w:ascii="宋体" w:hAnsi="宋体" w:eastAsia="宋体" w:cs="宋体"/>
          <w:color w:val="auto"/>
          <w:sz w:val="21"/>
          <w:szCs w:val="21"/>
          <w:highlight w:val="none"/>
        </w:rPr>
      </w:pPr>
    </w:p>
    <w:p w14:paraId="10461ABE">
      <w:pPr>
        <w:pStyle w:val="4"/>
        <w:spacing w:beforeLines="0" w:line="360" w:lineRule="auto"/>
        <w:rPr>
          <w:rFonts w:hint="eastAsia" w:ascii="宋体" w:hAnsi="宋体" w:eastAsia="宋体" w:cs="宋体"/>
          <w:color w:val="auto"/>
          <w:sz w:val="21"/>
          <w:szCs w:val="21"/>
          <w:highlight w:val="none"/>
        </w:rPr>
      </w:pPr>
    </w:p>
    <w:p w14:paraId="6F3616E5">
      <w:pPr>
        <w:spacing w:beforeLines="0" w:line="360" w:lineRule="auto"/>
        <w:rPr>
          <w:rFonts w:hint="eastAsia"/>
          <w:color w:val="auto"/>
          <w:highlight w:val="none"/>
        </w:rPr>
        <w:sectPr>
          <w:pgSz w:w="11906" w:h="16838"/>
          <w:pgMar w:top="1134" w:right="1134" w:bottom="1134" w:left="1134" w:header="851" w:footer="850" w:gutter="284"/>
          <w:pgBorders w:offsetFrom="page">
            <w:top w:val="none" w:sz="0" w:space="0"/>
            <w:left w:val="none" w:sz="0" w:space="0"/>
            <w:bottom w:val="none" w:sz="0" w:space="0"/>
            <w:right w:val="none" w:sz="0" w:space="0"/>
          </w:pgBorders>
          <w:cols w:space="720" w:num="1"/>
          <w:docGrid w:linePitch="312" w:charSpace="0"/>
        </w:sectPr>
      </w:pPr>
    </w:p>
    <w:p w14:paraId="285890AC">
      <w:pPr>
        <w:pStyle w:val="6"/>
        <w:spacing w:before="0" w:beforeLines="0" w:after="0" w:line="360" w:lineRule="auto"/>
        <w:rPr>
          <w:rFonts w:hint="eastAsia" w:ascii="宋体" w:hAnsi="宋体" w:eastAsia="宋体" w:cs="宋体"/>
          <w:color w:val="auto"/>
          <w:sz w:val="24"/>
          <w:szCs w:val="24"/>
          <w:highlight w:val="none"/>
        </w:rPr>
      </w:pPr>
      <w:bookmarkStart w:id="154" w:name="_Toc8554"/>
      <w:bookmarkStart w:id="155" w:name="_Toc5496"/>
      <w:bookmarkStart w:id="156" w:name="_Toc29300646"/>
      <w:bookmarkStart w:id="157" w:name="_Toc184281694"/>
      <w:bookmarkStart w:id="158" w:name="_Toc230773787"/>
      <w:bookmarkStart w:id="159" w:name="_Toc511308242"/>
      <w:bookmarkStart w:id="160" w:name="_Toc218392091"/>
      <w:bookmarkStart w:id="161" w:name="_Toc7390"/>
      <w:bookmarkStart w:id="162" w:name="_Toc27923"/>
      <w:bookmarkStart w:id="163" w:name="_Toc22887"/>
      <w:bookmarkStart w:id="164" w:name="_Toc351809635"/>
      <w:bookmarkStart w:id="165" w:name="_Toc184281693"/>
      <w:r>
        <w:rPr>
          <w:rFonts w:hint="eastAsia" w:ascii="宋体" w:hAnsi="宋体" w:eastAsia="宋体" w:cs="宋体"/>
          <w:color w:val="auto"/>
          <w:sz w:val="24"/>
          <w:szCs w:val="24"/>
          <w:highlight w:val="none"/>
        </w:rPr>
        <w:t>附件三 投标分项报价表</w:t>
      </w:r>
      <w:bookmarkEnd w:id="154"/>
      <w:bookmarkEnd w:id="155"/>
      <w:bookmarkEnd w:id="156"/>
    </w:p>
    <w:p w14:paraId="008A70EB">
      <w:pPr>
        <w:spacing w:beforeLines="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8"/>
          <w:szCs w:val="28"/>
          <w:highlight w:val="none"/>
        </w:rPr>
        <w:t>投标分项报价表</w:t>
      </w:r>
    </w:p>
    <w:p w14:paraId="1AF0B831">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项目名称： </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项目编号：</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20"/>
        <w:gridCol w:w="3780"/>
        <w:gridCol w:w="1440"/>
      </w:tblGrid>
      <w:tr w14:paraId="4C22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0" w:type="dxa"/>
            <w:noWrap w:val="0"/>
            <w:vAlign w:val="center"/>
          </w:tcPr>
          <w:p w14:paraId="1A4F81AE">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20" w:type="dxa"/>
            <w:noWrap w:val="0"/>
            <w:vAlign w:val="center"/>
          </w:tcPr>
          <w:p w14:paraId="5A0E593D">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c>
          <w:tcPr>
            <w:tcW w:w="3780" w:type="dxa"/>
            <w:noWrap w:val="0"/>
            <w:vAlign w:val="center"/>
          </w:tcPr>
          <w:p w14:paraId="39F8E9F3">
            <w:pPr>
              <w:keepNext w:val="0"/>
              <w:keepLines w:val="0"/>
              <w:suppressLineNumbers w:val="0"/>
              <w:spacing w:before="0" w:beforeLines="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r>
              <w:rPr>
                <w:rFonts w:hint="eastAsia" w:ascii="宋体" w:hAnsi="宋体" w:eastAsia="宋体" w:cs="宋体"/>
                <w:b w:val="0"/>
                <w:bCs w:val="0"/>
                <w:color w:val="auto"/>
                <w:kern w:val="0"/>
                <w:sz w:val="21"/>
                <w:szCs w:val="21"/>
                <w:highlight w:val="none"/>
                <w:u w:val="none"/>
                <w:lang w:bidi="ar"/>
              </w:rPr>
              <w:t>元/</w:t>
            </w:r>
            <w:r>
              <w:rPr>
                <w:rFonts w:hint="eastAsia" w:ascii="宋体" w:hAnsi="宋体" w:eastAsia="宋体" w:cs="宋体"/>
                <w:b w:val="0"/>
                <w:bCs w:val="0"/>
                <w:color w:val="auto"/>
                <w:kern w:val="0"/>
                <w:sz w:val="21"/>
                <w:szCs w:val="21"/>
                <w:highlight w:val="none"/>
                <w:u w:val="none"/>
                <w:lang w:val="en-US" w:eastAsia="zh-CN" w:bidi="ar"/>
              </w:rPr>
              <w:t>吨</w:t>
            </w:r>
            <w:r>
              <w:rPr>
                <w:rFonts w:hint="eastAsia" w:ascii="宋体" w:hAnsi="宋体" w:eastAsia="宋体" w:cs="宋体"/>
                <w:color w:val="auto"/>
                <w:sz w:val="21"/>
                <w:szCs w:val="21"/>
                <w:highlight w:val="none"/>
              </w:rPr>
              <w:t>）</w:t>
            </w:r>
          </w:p>
        </w:tc>
        <w:tc>
          <w:tcPr>
            <w:tcW w:w="1440" w:type="dxa"/>
            <w:noWrap w:val="0"/>
            <w:vAlign w:val="center"/>
          </w:tcPr>
          <w:p w14:paraId="58CA8FCD">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1F46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0" w:type="dxa"/>
            <w:noWrap w:val="0"/>
            <w:vAlign w:val="center"/>
          </w:tcPr>
          <w:p w14:paraId="2559A8EB">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0" w:type="dxa"/>
            <w:noWrap w:val="0"/>
            <w:vAlign w:val="center"/>
          </w:tcPr>
          <w:p w14:paraId="1BDE02E4">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 w:val="21"/>
                <w:szCs w:val="21"/>
                <w:highlight w:val="none"/>
              </w:rPr>
            </w:pPr>
          </w:p>
        </w:tc>
        <w:tc>
          <w:tcPr>
            <w:tcW w:w="3780" w:type="dxa"/>
            <w:noWrap w:val="0"/>
            <w:vAlign w:val="center"/>
          </w:tcPr>
          <w:p w14:paraId="4BBB00D0">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c>
          <w:tcPr>
            <w:tcW w:w="1440" w:type="dxa"/>
            <w:noWrap w:val="0"/>
            <w:vAlign w:val="center"/>
          </w:tcPr>
          <w:p w14:paraId="39CFCEE2">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r>
      <w:tr w14:paraId="5C7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0" w:type="dxa"/>
            <w:noWrap w:val="0"/>
            <w:vAlign w:val="center"/>
          </w:tcPr>
          <w:p w14:paraId="52DF735A">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20" w:type="dxa"/>
            <w:noWrap w:val="0"/>
            <w:vAlign w:val="center"/>
          </w:tcPr>
          <w:p w14:paraId="267EF806">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 w:val="21"/>
                <w:szCs w:val="21"/>
                <w:highlight w:val="none"/>
              </w:rPr>
            </w:pPr>
          </w:p>
        </w:tc>
        <w:tc>
          <w:tcPr>
            <w:tcW w:w="3780" w:type="dxa"/>
            <w:noWrap w:val="0"/>
            <w:vAlign w:val="center"/>
          </w:tcPr>
          <w:p w14:paraId="40B5E740">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c>
          <w:tcPr>
            <w:tcW w:w="1440" w:type="dxa"/>
            <w:noWrap w:val="0"/>
            <w:vAlign w:val="center"/>
          </w:tcPr>
          <w:p w14:paraId="2E84DFEB">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r>
      <w:tr w14:paraId="468D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0" w:type="dxa"/>
            <w:noWrap w:val="0"/>
            <w:vAlign w:val="center"/>
          </w:tcPr>
          <w:p w14:paraId="073FE180">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20" w:type="dxa"/>
            <w:noWrap w:val="0"/>
            <w:vAlign w:val="center"/>
          </w:tcPr>
          <w:p w14:paraId="55DE5B08">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 w:val="21"/>
                <w:szCs w:val="21"/>
                <w:highlight w:val="none"/>
              </w:rPr>
            </w:pPr>
          </w:p>
        </w:tc>
        <w:tc>
          <w:tcPr>
            <w:tcW w:w="3780" w:type="dxa"/>
            <w:noWrap w:val="0"/>
            <w:vAlign w:val="center"/>
          </w:tcPr>
          <w:p w14:paraId="1ABF3801">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c>
          <w:tcPr>
            <w:tcW w:w="1440" w:type="dxa"/>
            <w:noWrap w:val="0"/>
            <w:vAlign w:val="center"/>
          </w:tcPr>
          <w:p w14:paraId="1E2785EF">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r>
      <w:tr w14:paraId="6E43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0" w:type="dxa"/>
            <w:noWrap w:val="0"/>
            <w:vAlign w:val="center"/>
          </w:tcPr>
          <w:p w14:paraId="3AE0E175">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p>
        </w:tc>
        <w:tc>
          <w:tcPr>
            <w:tcW w:w="3420" w:type="dxa"/>
            <w:noWrap w:val="0"/>
            <w:vAlign w:val="center"/>
          </w:tcPr>
          <w:p w14:paraId="28C2C22A">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 w:val="21"/>
                <w:szCs w:val="21"/>
                <w:highlight w:val="none"/>
              </w:rPr>
            </w:pPr>
          </w:p>
        </w:tc>
        <w:tc>
          <w:tcPr>
            <w:tcW w:w="3780" w:type="dxa"/>
            <w:noWrap w:val="0"/>
            <w:vAlign w:val="center"/>
          </w:tcPr>
          <w:p w14:paraId="1077DBD5">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c>
          <w:tcPr>
            <w:tcW w:w="1440" w:type="dxa"/>
            <w:noWrap w:val="0"/>
            <w:vAlign w:val="center"/>
          </w:tcPr>
          <w:p w14:paraId="57E7A6CD">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p>
        </w:tc>
      </w:tr>
      <w:tr w14:paraId="1A2A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360" w:type="dxa"/>
            <w:gridSpan w:val="4"/>
            <w:noWrap w:val="0"/>
            <w:vAlign w:val="center"/>
          </w:tcPr>
          <w:p w14:paraId="30EF46A0">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kern w:val="0"/>
                <w:sz w:val="21"/>
                <w:szCs w:val="21"/>
                <w:highlight w:val="none"/>
                <w:u w:val="none"/>
                <w:lang w:bidi="ar"/>
              </w:rPr>
              <w:t>元/</w:t>
            </w:r>
            <w:r>
              <w:rPr>
                <w:rFonts w:hint="eastAsia" w:ascii="宋体" w:hAnsi="宋体" w:eastAsia="宋体" w:cs="宋体"/>
                <w:b w:val="0"/>
                <w:bCs w:val="0"/>
                <w:color w:val="auto"/>
                <w:kern w:val="0"/>
                <w:sz w:val="21"/>
                <w:szCs w:val="21"/>
                <w:highlight w:val="none"/>
                <w:u w:val="none"/>
                <w:lang w:val="en-US" w:eastAsia="zh-CN" w:bidi="ar"/>
              </w:rPr>
              <w:t>吨</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kern w:val="0"/>
                <w:sz w:val="21"/>
                <w:szCs w:val="21"/>
                <w:highlight w:val="none"/>
                <w:u w:val="none"/>
                <w:lang w:bidi="ar"/>
              </w:rPr>
              <w:t>元/</w:t>
            </w:r>
            <w:r>
              <w:rPr>
                <w:rFonts w:hint="eastAsia" w:ascii="宋体" w:hAnsi="宋体" w:eastAsia="宋体" w:cs="宋体"/>
                <w:b w:val="0"/>
                <w:bCs w:val="0"/>
                <w:color w:val="auto"/>
                <w:kern w:val="0"/>
                <w:sz w:val="21"/>
                <w:szCs w:val="21"/>
                <w:highlight w:val="none"/>
                <w:u w:val="none"/>
                <w:lang w:val="en-US" w:eastAsia="zh-CN" w:bidi="ar"/>
              </w:rPr>
              <w:t>吨</w:t>
            </w:r>
            <w:r>
              <w:rPr>
                <w:rFonts w:hint="eastAsia" w:ascii="宋体" w:hAnsi="宋体" w:eastAsia="宋体" w:cs="宋体"/>
                <w:color w:val="auto"/>
                <w:sz w:val="21"/>
                <w:szCs w:val="21"/>
                <w:highlight w:val="none"/>
              </w:rPr>
              <w:t>。</w:t>
            </w:r>
          </w:p>
        </w:tc>
      </w:tr>
    </w:tbl>
    <w:p w14:paraId="56E14B62">
      <w:pPr>
        <w:spacing w:beforeLines="0" w:line="360" w:lineRule="auto"/>
        <w:rPr>
          <w:rFonts w:hint="eastAsia"/>
          <w:color w:val="auto"/>
          <w:sz w:val="21"/>
          <w:szCs w:val="21"/>
          <w:highlight w:val="none"/>
        </w:rPr>
      </w:pPr>
    </w:p>
    <w:p w14:paraId="2761ED64">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说明：1.不提供详细分项报价将视为没有实质性响应采购文件。</w:t>
      </w:r>
    </w:p>
    <w:p w14:paraId="06F30BF3">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2.此表的</w:t>
      </w:r>
      <w:r>
        <w:rPr>
          <w:rFonts w:hint="eastAsia" w:ascii="宋体" w:hAnsi="宋体" w:eastAsia="宋体" w:cs="宋体"/>
          <w:b/>
          <w:bCs/>
          <w:color w:val="auto"/>
          <w:sz w:val="21"/>
          <w:szCs w:val="21"/>
          <w:highlight w:val="none"/>
          <w:lang w:eastAsia="zh-CN"/>
        </w:rPr>
        <w:t>合计</w:t>
      </w:r>
      <w:r>
        <w:rPr>
          <w:rFonts w:hint="eastAsia" w:ascii="宋体" w:hAnsi="宋体" w:cs="宋体"/>
          <w:b/>
          <w:bCs/>
          <w:color w:val="auto"/>
          <w:sz w:val="21"/>
          <w:szCs w:val="21"/>
          <w:highlight w:val="none"/>
          <w:lang w:val="en-US" w:eastAsia="zh-CN"/>
        </w:rPr>
        <w:t>金额</w:t>
      </w:r>
      <w:r>
        <w:rPr>
          <w:rFonts w:hint="eastAsia" w:ascii="宋体" w:hAnsi="宋体" w:eastAsia="宋体" w:cs="宋体"/>
          <w:b/>
          <w:bCs/>
          <w:color w:val="auto"/>
          <w:sz w:val="21"/>
          <w:szCs w:val="21"/>
          <w:highlight w:val="none"/>
        </w:rPr>
        <w:t>应与附件二“投标报价一览表”中的投标</w:t>
      </w:r>
      <w:r>
        <w:rPr>
          <w:rFonts w:hint="eastAsia" w:ascii="宋体" w:hAnsi="宋体" w:eastAsia="宋体" w:cs="宋体"/>
          <w:b/>
          <w:bCs/>
          <w:color w:val="auto"/>
          <w:sz w:val="21"/>
          <w:szCs w:val="21"/>
          <w:highlight w:val="none"/>
          <w:lang w:val="en-US" w:eastAsia="zh-CN"/>
        </w:rPr>
        <w:t>综合单价</w:t>
      </w:r>
      <w:r>
        <w:rPr>
          <w:rFonts w:hint="eastAsia" w:ascii="宋体" w:hAnsi="宋体" w:eastAsia="宋体" w:cs="宋体"/>
          <w:b/>
          <w:bCs/>
          <w:color w:val="auto"/>
          <w:sz w:val="21"/>
          <w:szCs w:val="21"/>
          <w:highlight w:val="none"/>
        </w:rPr>
        <w:t>报价相一致。</w:t>
      </w:r>
    </w:p>
    <w:p w14:paraId="6A5CC613">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3.如果免费请在该备注栏内注明“免”，如果含在产品价格中则填“含”，如无此项内容则填“无”，不留空白。</w:t>
      </w:r>
    </w:p>
    <w:p w14:paraId="3FC00BDA">
      <w:pPr>
        <w:spacing w:beforeLines="0"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投标供应商可按以上表格形式</w:t>
      </w:r>
      <w:r>
        <w:rPr>
          <w:rFonts w:hint="eastAsia" w:ascii="宋体" w:hAnsi="宋体" w:cs="宋体"/>
          <w:b/>
          <w:bCs/>
          <w:color w:val="auto"/>
          <w:sz w:val="21"/>
          <w:szCs w:val="21"/>
          <w:highlight w:val="none"/>
          <w:lang w:val="en-US" w:eastAsia="zh-CN"/>
        </w:rPr>
        <w:t>自行拟定内容</w:t>
      </w:r>
      <w:r>
        <w:rPr>
          <w:rFonts w:hint="eastAsia" w:ascii="宋体" w:hAnsi="宋体" w:eastAsia="宋体" w:cs="宋体"/>
          <w:b/>
          <w:bCs/>
          <w:color w:val="auto"/>
          <w:sz w:val="21"/>
          <w:szCs w:val="21"/>
          <w:highlight w:val="none"/>
          <w:lang w:eastAsia="zh-CN"/>
        </w:rPr>
        <w:t>。</w:t>
      </w:r>
    </w:p>
    <w:p w14:paraId="68A0B931">
      <w:pPr>
        <w:spacing w:beforeLines="0" w:line="360" w:lineRule="auto"/>
        <w:rPr>
          <w:rFonts w:hint="eastAsia" w:ascii="宋体" w:hAnsi="宋体" w:eastAsia="宋体" w:cs="宋体"/>
          <w:color w:val="auto"/>
          <w:sz w:val="21"/>
          <w:szCs w:val="21"/>
          <w:highlight w:val="none"/>
        </w:rPr>
      </w:pPr>
    </w:p>
    <w:p w14:paraId="7625E518">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2D095042">
      <w:pPr>
        <w:spacing w:beforeLines="0"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法定代表人或授权代表（签字或盖章）：</w:t>
      </w:r>
      <w:r>
        <w:rPr>
          <w:rFonts w:hint="eastAsia" w:ascii="宋体" w:hAnsi="宋体" w:cs="宋体"/>
          <w:color w:val="auto"/>
          <w:sz w:val="21"/>
          <w:szCs w:val="21"/>
          <w:highlight w:val="none"/>
          <w:u w:val="single"/>
          <w:lang w:val="en-US" w:eastAsia="zh-CN"/>
        </w:rPr>
        <w:t xml:space="preserve">          </w:t>
      </w:r>
    </w:p>
    <w:p w14:paraId="4458BCB5">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06B957AB">
      <w:pPr>
        <w:spacing w:beforeLines="0" w:line="360" w:lineRule="auto"/>
        <w:rPr>
          <w:rFonts w:hint="eastAsia" w:ascii="宋体" w:hAnsi="宋体" w:eastAsia="宋体" w:cs="宋体"/>
          <w:color w:val="auto"/>
          <w:highlight w:val="none"/>
        </w:rPr>
      </w:pPr>
    </w:p>
    <w:p w14:paraId="5930B3EC">
      <w:pPr>
        <w:pStyle w:val="6"/>
        <w:spacing w:before="0" w:beforeLines="0" w:after="0" w:line="360" w:lineRule="auto"/>
        <w:rPr>
          <w:rFonts w:hint="eastAsia" w:ascii="宋体" w:hAnsi="宋体" w:eastAsia="宋体" w:cs="宋体"/>
          <w:color w:val="auto"/>
          <w:sz w:val="24"/>
          <w:szCs w:val="24"/>
          <w:highlight w:val="none"/>
        </w:rPr>
      </w:pPr>
      <w:bookmarkStart w:id="166" w:name="_Toc26545"/>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157"/>
      <w:bookmarkEnd w:id="158"/>
      <w:bookmarkEnd w:id="159"/>
      <w:bookmarkEnd w:id="160"/>
      <w:r>
        <w:rPr>
          <w:rFonts w:hint="eastAsia" w:ascii="宋体" w:hAnsi="宋体" w:eastAsia="宋体" w:cs="宋体"/>
          <w:color w:val="auto"/>
          <w:sz w:val="24"/>
          <w:szCs w:val="24"/>
          <w:highlight w:val="none"/>
        </w:rPr>
        <w:t>四 资格证明文件</w:t>
      </w:r>
      <w:bookmarkEnd w:id="161"/>
      <w:bookmarkEnd w:id="162"/>
      <w:bookmarkEnd w:id="163"/>
      <w:bookmarkEnd w:id="166"/>
    </w:p>
    <w:p w14:paraId="61B0CEF7">
      <w:pPr>
        <w:spacing w:beforeLines="0" w:line="360" w:lineRule="auto"/>
        <w:rPr>
          <w:rFonts w:hint="eastAsia" w:ascii="宋体" w:hAnsi="宋体" w:eastAsia="宋体" w:cs="宋体"/>
          <w:color w:val="auto"/>
          <w:highlight w:val="none"/>
        </w:rPr>
      </w:pPr>
    </w:p>
    <w:p w14:paraId="1A6F42E0">
      <w:pPr>
        <w:keepNext w:val="0"/>
        <w:keepLines w:val="0"/>
        <w:widowControl w:val="0"/>
        <w:suppressLineNumbers w:val="0"/>
        <w:spacing w:before="0" w:beforeLines="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（一）-1法定代表人身份证明</w:t>
      </w:r>
    </w:p>
    <w:p w14:paraId="7B8E183A">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33F2D1C">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温州交运集团工程运输有限公司：</w:t>
      </w:r>
    </w:p>
    <w:p w14:paraId="32D9E12A">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中冠工程管理咨询有限公司</w:t>
      </w:r>
      <w:r>
        <w:rPr>
          <w:rFonts w:hint="eastAsia" w:ascii="宋体" w:hAnsi="宋体" w:eastAsia="宋体" w:cs="宋体"/>
          <w:color w:val="auto"/>
          <w:kern w:val="2"/>
          <w:sz w:val="21"/>
          <w:szCs w:val="21"/>
          <w:highlight w:val="none"/>
          <w:lang w:val="en-US" w:eastAsia="zh-CN" w:bidi="ar"/>
        </w:rPr>
        <w:t>：</w:t>
      </w:r>
    </w:p>
    <w:p w14:paraId="689F0E14">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2E54D7C1">
      <w:pPr>
        <w:keepNext w:val="0"/>
        <w:keepLines w:val="0"/>
        <w:widowControl w:val="0"/>
        <w:suppressLineNumbers w:val="0"/>
        <w:spacing w:before="0" w:beforeLines="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w:t>
      </w:r>
      <w:r>
        <w:rPr>
          <w:rFonts w:hint="eastAsia" w:ascii="宋体" w:hAnsi="宋体" w:eastAsia="宋体" w:cs="宋体"/>
          <w:color w:val="auto"/>
          <w:kern w:val="2"/>
          <w:sz w:val="21"/>
          <w:szCs w:val="21"/>
          <w:highlight w:val="none"/>
          <w:u w:val="single"/>
          <w:lang w:val="en-US" w:eastAsia="zh-CN" w:bidi="ar"/>
        </w:rPr>
        <w:t xml:space="preserve">    （法定代表人姓名）</w:t>
      </w:r>
      <w:r>
        <w:rPr>
          <w:rFonts w:hint="eastAsia" w:ascii="宋体" w:hAnsi="宋体" w:eastAsia="宋体" w:cs="宋体"/>
          <w:color w:val="auto"/>
          <w:kern w:val="2"/>
          <w:sz w:val="21"/>
          <w:szCs w:val="21"/>
          <w:highlight w:val="none"/>
          <w:lang w:val="en-US" w:eastAsia="zh-CN" w:bidi="ar"/>
        </w:rPr>
        <w:t>为</w:t>
      </w:r>
      <w:r>
        <w:rPr>
          <w:rFonts w:hint="eastAsia" w:ascii="宋体" w:hAnsi="宋体" w:eastAsia="宋体" w:cs="宋体"/>
          <w:color w:val="auto"/>
          <w:kern w:val="2"/>
          <w:sz w:val="21"/>
          <w:szCs w:val="21"/>
          <w:highlight w:val="none"/>
          <w:u w:val="single"/>
          <w:lang w:val="en-US" w:eastAsia="zh-CN" w:bidi="ar"/>
        </w:rPr>
        <w:t xml:space="preserve">     （投标</w:t>
      </w:r>
      <w:r>
        <w:rPr>
          <w:rFonts w:hint="eastAsia" w:ascii="宋体" w:hAnsi="宋体" w:eastAsia="宋体" w:cs="宋体"/>
          <w:color w:val="auto"/>
          <w:sz w:val="21"/>
          <w:szCs w:val="21"/>
          <w:highlight w:val="none"/>
        </w:rPr>
        <w:t>供应商</w:t>
      </w:r>
      <w:r>
        <w:rPr>
          <w:rFonts w:hint="eastAsia" w:ascii="宋体" w:hAnsi="宋体" w:eastAsia="宋体" w:cs="宋体"/>
          <w:color w:val="auto"/>
          <w:kern w:val="2"/>
          <w:sz w:val="21"/>
          <w:szCs w:val="21"/>
          <w:highlight w:val="none"/>
          <w:u w:val="single"/>
          <w:lang w:val="en-US" w:eastAsia="zh-CN" w:bidi="ar"/>
        </w:rPr>
        <w:t>全称）</w:t>
      </w:r>
      <w:r>
        <w:rPr>
          <w:rFonts w:hint="eastAsia" w:ascii="宋体" w:hAnsi="宋体" w:eastAsia="宋体" w:cs="宋体"/>
          <w:color w:val="auto"/>
          <w:kern w:val="2"/>
          <w:sz w:val="21"/>
          <w:szCs w:val="21"/>
          <w:highlight w:val="none"/>
          <w:lang w:val="en-US" w:eastAsia="zh-CN" w:bidi="ar"/>
        </w:rPr>
        <w:t>的法定代表人。我公司参加贵单位组织的</w:t>
      </w:r>
      <w:r>
        <w:rPr>
          <w:rFonts w:hint="eastAsia" w:ascii="宋体" w:hAnsi="宋体" w:eastAsia="宋体" w:cs="宋体"/>
          <w:color w:val="auto"/>
          <w:kern w:val="2"/>
          <w:sz w:val="21"/>
          <w:szCs w:val="21"/>
          <w:highlight w:val="none"/>
          <w:u w:val="single"/>
          <w:lang w:val="en-US" w:eastAsia="zh-CN" w:bidi="ar"/>
        </w:rPr>
        <w:t xml:space="preserve">     （项目名称、项目编号）</w:t>
      </w:r>
      <w:r>
        <w:rPr>
          <w:rFonts w:hint="eastAsia" w:ascii="宋体" w:hAnsi="宋体" w:eastAsia="宋体" w:cs="宋体"/>
          <w:color w:val="auto"/>
          <w:kern w:val="2"/>
          <w:sz w:val="21"/>
          <w:szCs w:val="21"/>
          <w:highlight w:val="none"/>
          <w:lang w:val="en-US" w:eastAsia="zh-CN" w:bidi="ar"/>
        </w:rPr>
        <w:t>的采购活动，由我本人全权代表我方处理采购活动中的一切事宜。联系方式如下：</w:t>
      </w:r>
      <w:r>
        <w:rPr>
          <w:rFonts w:hint="eastAsia" w:ascii="宋体" w:hAnsi="宋体" w:eastAsia="宋体" w:cs="宋体"/>
          <w:color w:val="auto"/>
          <w:kern w:val="2"/>
          <w:sz w:val="21"/>
          <w:szCs w:val="21"/>
          <w:highlight w:val="none"/>
          <w:u w:val="single"/>
          <w:lang w:val="en-US" w:eastAsia="zh-CN" w:bidi="ar"/>
        </w:rPr>
        <w:t xml:space="preserve">手机号码：       联系邮箱:         详细通讯地址：       </w:t>
      </w:r>
      <w:r>
        <w:rPr>
          <w:rFonts w:hint="eastAsia" w:ascii="宋体" w:hAnsi="宋体" w:eastAsia="宋体" w:cs="宋体"/>
          <w:color w:val="auto"/>
          <w:kern w:val="2"/>
          <w:sz w:val="21"/>
          <w:szCs w:val="21"/>
          <w:highlight w:val="none"/>
          <w:lang w:val="en-US" w:eastAsia="zh-CN" w:bidi="ar"/>
        </w:rPr>
        <w:t xml:space="preserve"> 。</w:t>
      </w:r>
    </w:p>
    <w:p w14:paraId="765FD9EA">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4AA1EE">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3201C4B">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B57897F">
      <w:pPr>
        <w:keepNext w:val="0"/>
        <w:keepLines w:val="0"/>
        <w:widowControl w:val="0"/>
        <w:suppressLineNumbers w:val="0"/>
        <w:spacing w:before="0" w:beforeLines="0" w:beforeAutospacing="0" w:after="0" w:afterAutospacing="0" w:line="360" w:lineRule="auto"/>
        <w:ind w:left="0" w:right="0" w:firstLine="3790" w:firstLineChars="180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5E32BE1">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43CA528E">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0F013602">
      <w:pPr>
        <w:keepNext w:val="0"/>
        <w:keepLines w:val="0"/>
        <w:widowControl w:val="0"/>
        <w:suppressLineNumbers w:val="0"/>
        <w:spacing w:before="0" w:beforeLines="0" w:beforeAutospacing="0" w:after="0" w:afterAutospacing="0" w:line="360" w:lineRule="auto"/>
        <w:ind w:left="0" w:right="0" w:firstLine="2955"/>
        <w:jc w:val="both"/>
        <w:rPr>
          <w:rFonts w:hint="eastAsia" w:ascii="宋体" w:hAnsi="宋体" w:eastAsia="宋体" w:cs="宋体"/>
          <w:color w:val="auto"/>
          <w:kern w:val="2"/>
          <w:sz w:val="21"/>
          <w:szCs w:val="21"/>
          <w:highlight w:val="none"/>
        </w:rPr>
      </w:pPr>
    </w:p>
    <w:p w14:paraId="3074EB8B">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2065401">
      <w:pPr>
        <w:keepNext w:val="0"/>
        <w:keepLines w:val="0"/>
        <w:widowControl/>
        <w:suppressLineNumbers w:val="0"/>
        <w:spacing w:before="0" w:beforeLines="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E50D876">
      <w:pPr>
        <w:keepNext w:val="0"/>
        <w:keepLines w:val="0"/>
        <w:widowControl/>
        <w:suppressLineNumbers w:val="0"/>
        <w:spacing w:before="0" w:beforeLines="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652DF2E">
      <w:pPr>
        <w:keepNext w:val="0"/>
        <w:keepLines w:val="0"/>
        <w:widowControl/>
        <w:suppressLineNumbers w:val="0"/>
        <w:spacing w:before="0" w:beforeLines="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附：法定代表人身份证正反面复印件</w:t>
      </w:r>
    </w:p>
    <w:p w14:paraId="7FF7C435">
      <w:pPr>
        <w:pStyle w:val="2"/>
        <w:spacing w:beforeLines="0" w:after="0" w:line="360" w:lineRule="auto"/>
        <w:rPr>
          <w:rFonts w:hint="eastAsia" w:ascii="宋体" w:hAnsi="宋体" w:eastAsia="宋体" w:cs="宋体"/>
          <w:color w:val="auto"/>
          <w:highlight w:val="none"/>
        </w:rPr>
      </w:pPr>
    </w:p>
    <w:p w14:paraId="2E6F97AF">
      <w:pPr>
        <w:spacing w:beforeLines="0" w:line="360" w:lineRule="auto"/>
        <w:jc w:val="center"/>
        <w:rPr>
          <w:rFonts w:hint="eastAsia" w:ascii="宋体" w:hAnsi="宋体" w:eastAsia="宋体" w:cs="宋体"/>
          <w:b/>
          <w:color w:val="auto"/>
          <w:sz w:val="24"/>
          <w:highlight w:val="none"/>
        </w:rPr>
      </w:pPr>
    </w:p>
    <w:p w14:paraId="30793CAE">
      <w:pPr>
        <w:spacing w:beforeLines="0" w:line="360" w:lineRule="auto"/>
        <w:jc w:val="center"/>
        <w:rPr>
          <w:rFonts w:hint="eastAsia" w:ascii="宋体" w:hAnsi="宋体" w:eastAsia="宋体" w:cs="宋体"/>
          <w:b/>
          <w:color w:val="auto"/>
          <w:sz w:val="24"/>
          <w:highlight w:val="none"/>
        </w:rPr>
      </w:pPr>
    </w:p>
    <w:p w14:paraId="02E88CD9">
      <w:pPr>
        <w:spacing w:beforeLines="0" w:line="360" w:lineRule="auto"/>
        <w:jc w:val="center"/>
        <w:rPr>
          <w:rFonts w:hint="eastAsia" w:ascii="宋体" w:hAnsi="宋体" w:eastAsia="宋体" w:cs="宋体"/>
          <w:b/>
          <w:color w:val="auto"/>
          <w:sz w:val="24"/>
          <w:highlight w:val="none"/>
        </w:rPr>
      </w:pPr>
    </w:p>
    <w:p w14:paraId="4E20E43C">
      <w:pPr>
        <w:spacing w:beforeLines="0" w:line="360" w:lineRule="auto"/>
        <w:jc w:val="center"/>
        <w:rPr>
          <w:rFonts w:hint="eastAsia" w:ascii="宋体" w:hAnsi="宋体" w:eastAsia="宋体" w:cs="宋体"/>
          <w:b/>
          <w:color w:val="auto"/>
          <w:sz w:val="24"/>
          <w:highlight w:val="none"/>
        </w:rPr>
      </w:pPr>
    </w:p>
    <w:p w14:paraId="519AC56C">
      <w:pPr>
        <w:spacing w:beforeLines="0" w:line="360" w:lineRule="auto"/>
        <w:jc w:val="center"/>
        <w:rPr>
          <w:rFonts w:hint="eastAsia" w:ascii="宋体" w:hAnsi="宋体" w:eastAsia="宋体" w:cs="宋体"/>
          <w:b/>
          <w:color w:val="auto"/>
          <w:sz w:val="24"/>
          <w:highlight w:val="none"/>
        </w:rPr>
      </w:pPr>
    </w:p>
    <w:p w14:paraId="71919E21">
      <w:pPr>
        <w:spacing w:beforeLines="0" w:line="360" w:lineRule="auto"/>
        <w:jc w:val="center"/>
        <w:rPr>
          <w:rFonts w:hint="eastAsia" w:ascii="宋体" w:hAnsi="宋体" w:eastAsia="宋体" w:cs="宋体"/>
          <w:b/>
          <w:color w:val="auto"/>
          <w:sz w:val="24"/>
          <w:highlight w:val="none"/>
        </w:rPr>
      </w:pPr>
    </w:p>
    <w:p w14:paraId="1C76F51D">
      <w:pPr>
        <w:spacing w:beforeLines="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B082E65">
      <w:pPr>
        <w:pStyle w:val="2"/>
        <w:spacing w:beforeLines="0" w:after="0" w:line="360" w:lineRule="auto"/>
        <w:rPr>
          <w:rFonts w:hint="eastAsia"/>
          <w:color w:val="auto"/>
          <w:highlight w:val="none"/>
        </w:rPr>
      </w:pPr>
    </w:p>
    <w:p w14:paraId="3DC4E939">
      <w:pPr>
        <w:spacing w:beforeLines="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4"/>
          <w:highlight w:val="none"/>
        </w:rPr>
        <w:t>（一）</w:t>
      </w:r>
      <w:r>
        <w:rPr>
          <w:rFonts w:hint="eastAsia" w:ascii="宋体" w:hAnsi="宋体" w:eastAsia="宋体" w:cs="宋体"/>
          <w:b/>
          <w:bCs w:val="0"/>
          <w:color w:val="auto"/>
          <w:kern w:val="2"/>
          <w:sz w:val="22"/>
          <w:szCs w:val="22"/>
          <w:highlight w:val="none"/>
          <w:lang w:val="en-US" w:eastAsia="zh-CN" w:bidi="ar"/>
        </w:rPr>
        <w:t>-2</w:t>
      </w:r>
      <w:r>
        <w:rPr>
          <w:rFonts w:hint="eastAsia" w:ascii="宋体" w:hAnsi="宋体" w:eastAsia="宋体" w:cs="宋体"/>
          <w:b/>
          <w:color w:val="auto"/>
          <w:sz w:val="24"/>
          <w:highlight w:val="none"/>
        </w:rPr>
        <w:t>法定代表人授权书</w:t>
      </w:r>
    </w:p>
    <w:p w14:paraId="3723E219">
      <w:pPr>
        <w:spacing w:beforeLines="0"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温州交运集团</w:t>
      </w:r>
      <w:r>
        <w:rPr>
          <w:rFonts w:hint="eastAsia" w:ascii="宋体" w:hAnsi="宋体" w:eastAsia="宋体" w:cs="宋体"/>
          <w:b/>
          <w:bCs/>
          <w:color w:val="auto"/>
          <w:kern w:val="0"/>
          <w:sz w:val="21"/>
          <w:szCs w:val="21"/>
          <w:highlight w:val="none"/>
        </w:rPr>
        <w:t>工程运输</w:t>
      </w:r>
      <w:r>
        <w:rPr>
          <w:rFonts w:hint="eastAsia" w:ascii="宋体" w:hAnsi="宋体" w:eastAsia="宋体" w:cs="宋体"/>
          <w:b/>
          <w:bCs/>
          <w:color w:val="auto"/>
          <w:sz w:val="21"/>
          <w:szCs w:val="21"/>
          <w:highlight w:val="none"/>
        </w:rPr>
        <w:t>有限公司：</w:t>
      </w:r>
    </w:p>
    <w:p w14:paraId="64E00A96">
      <w:pPr>
        <w:spacing w:beforeLines="0"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中冠工程管理咨询有限公司</w:t>
      </w:r>
      <w:r>
        <w:rPr>
          <w:rFonts w:hint="eastAsia" w:ascii="宋体" w:hAnsi="宋体" w:eastAsia="宋体" w:cs="宋体"/>
          <w:b/>
          <w:bCs/>
          <w:color w:val="auto"/>
          <w:sz w:val="21"/>
          <w:szCs w:val="21"/>
          <w:highlight w:val="none"/>
        </w:rPr>
        <w:t>：</w:t>
      </w:r>
    </w:p>
    <w:p w14:paraId="6DB3855B">
      <w:pPr>
        <w:spacing w:before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（投标供应商全称）法定代表人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（全权代表姓名）为全权代表，参加贵处组织的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（项目名称、编号）的采购活动，全权代表我方处理采购活动中的一切事宜。</w:t>
      </w:r>
      <w:r>
        <w:rPr>
          <w:rFonts w:hint="eastAsia" w:ascii="宋体" w:hAnsi="宋体" w:eastAsia="宋体" w:cs="宋体"/>
          <w:color w:val="auto"/>
          <w:sz w:val="21"/>
          <w:szCs w:val="21"/>
          <w:highlight w:val="none"/>
          <w:lang w:val="en-US" w:eastAsia="zh-CN"/>
        </w:rPr>
        <w:t>联系方式如下：</w:t>
      </w:r>
      <w:r>
        <w:rPr>
          <w:rFonts w:hint="eastAsia" w:ascii="宋体" w:hAnsi="宋体" w:eastAsia="宋体" w:cs="宋体"/>
          <w:color w:val="auto"/>
          <w:sz w:val="21"/>
          <w:szCs w:val="21"/>
          <w:highlight w:val="none"/>
          <w:u w:val="single"/>
          <w:lang w:val="en-US" w:eastAsia="zh-CN"/>
        </w:rPr>
        <w:t>联系</w:t>
      </w:r>
      <w:r>
        <w:rPr>
          <w:rFonts w:hint="eastAsia" w:ascii="宋体" w:hAnsi="宋体" w:eastAsia="宋体" w:cs="宋体"/>
          <w:color w:val="auto"/>
          <w:sz w:val="21"/>
          <w:szCs w:val="21"/>
          <w:highlight w:val="none"/>
          <w:u w:val="single"/>
        </w:rPr>
        <w:t>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
        </w:rPr>
        <w:t xml:space="preserve">联系邮箱： </w:t>
      </w:r>
      <w:r>
        <w:rPr>
          <w:rFonts w:hint="eastAsia" w:ascii="宋体" w:hAnsi="宋体" w:eastAsia="宋体" w:cs="宋体"/>
          <w:color w:val="auto"/>
          <w:sz w:val="21"/>
          <w:szCs w:val="21"/>
          <w:highlight w:val="none"/>
          <w:u w:val="single"/>
        </w:rPr>
        <w:t>详细通讯地址：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BB55CD8">
      <w:pPr>
        <w:spacing w:beforeLines="0" w:line="360" w:lineRule="auto"/>
        <w:ind w:firstLine="525" w:firstLineChars="250"/>
        <w:rPr>
          <w:rFonts w:hint="eastAsia" w:ascii="宋体" w:hAnsi="宋体" w:eastAsia="宋体" w:cs="宋体"/>
          <w:color w:val="auto"/>
          <w:sz w:val="21"/>
          <w:szCs w:val="21"/>
          <w:highlight w:val="none"/>
          <w:lang w:val="en-US" w:eastAsia="zh-CN"/>
        </w:rPr>
      </w:pPr>
    </w:p>
    <w:p w14:paraId="354EE216">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本授权书于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日签字生效，特此说明。</w:t>
      </w:r>
    </w:p>
    <w:p w14:paraId="5D8FBAC5">
      <w:pPr>
        <w:spacing w:beforeLines="0" w:line="360" w:lineRule="auto"/>
        <w:ind w:firstLine="29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10104C0">
      <w:pPr>
        <w:spacing w:beforeLines="0" w:line="360" w:lineRule="auto"/>
        <w:ind w:firstLine="3998" w:firstLineChars="1904"/>
        <w:rPr>
          <w:rFonts w:hint="eastAsia" w:ascii="宋体" w:hAnsi="宋体" w:eastAsia="宋体" w:cs="宋体"/>
          <w:color w:val="auto"/>
          <w:sz w:val="21"/>
          <w:szCs w:val="21"/>
          <w:highlight w:val="none"/>
        </w:rPr>
      </w:pPr>
    </w:p>
    <w:p w14:paraId="64EDABE6">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148A7196">
      <w:pPr>
        <w:spacing w:beforeLines="0"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法定代表人（签字或盖章）：</w:t>
      </w:r>
      <w:r>
        <w:rPr>
          <w:rFonts w:hint="eastAsia" w:ascii="宋体" w:hAnsi="宋体" w:cs="宋体"/>
          <w:color w:val="auto"/>
          <w:sz w:val="21"/>
          <w:szCs w:val="21"/>
          <w:highlight w:val="none"/>
          <w:u w:val="single"/>
          <w:lang w:val="en-US" w:eastAsia="zh-CN"/>
        </w:rPr>
        <w:t xml:space="preserve">          </w:t>
      </w:r>
    </w:p>
    <w:p w14:paraId="72BE2714">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5584A6B0">
      <w:pPr>
        <w:spacing w:beforeLines="0" w:line="360" w:lineRule="auto"/>
        <w:rPr>
          <w:rFonts w:hint="eastAsia" w:ascii="宋体" w:hAnsi="宋体" w:eastAsia="宋体" w:cs="宋体"/>
          <w:color w:val="auto"/>
          <w:sz w:val="21"/>
          <w:szCs w:val="21"/>
          <w:highlight w:val="none"/>
        </w:rPr>
      </w:pPr>
    </w:p>
    <w:p w14:paraId="2BA37076">
      <w:pPr>
        <w:spacing w:beforeLines="0" w:line="360" w:lineRule="auto"/>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b/>
          <w:bCs/>
          <w:color w:val="auto"/>
          <w:sz w:val="21"/>
          <w:szCs w:val="21"/>
          <w:highlight w:val="none"/>
        </w:rPr>
        <w:t>附：</w:t>
      </w:r>
      <w:r>
        <w:rPr>
          <w:rFonts w:hint="eastAsia" w:ascii="宋体" w:hAnsi="宋体" w:eastAsia="宋体" w:cs="宋体"/>
          <w:b/>
          <w:bCs/>
          <w:color w:val="auto"/>
          <w:kern w:val="2"/>
          <w:sz w:val="21"/>
          <w:szCs w:val="21"/>
          <w:highlight w:val="none"/>
          <w:u w:val="single"/>
          <w:lang w:val="en-US" w:eastAsia="zh-CN" w:bidi="ar"/>
        </w:rPr>
        <w:t>法定代表人及授权代表的身份证正反面复印件</w:t>
      </w:r>
    </w:p>
    <w:p w14:paraId="4C783EC5">
      <w:pPr>
        <w:spacing w:beforeLines="0" w:line="360" w:lineRule="auto"/>
        <w:rPr>
          <w:rFonts w:hint="eastAsia" w:ascii="宋体" w:hAnsi="宋体" w:eastAsia="宋体" w:cs="宋体"/>
          <w:color w:val="auto"/>
          <w:sz w:val="21"/>
          <w:szCs w:val="21"/>
          <w:highlight w:val="none"/>
        </w:rPr>
      </w:pPr>
    </w:p>
    <w:p w14:paraId="7AC7648F">
      <w:pPr>
        <w:spacing w:beforeLines="0" w:line="360" w:lineRule="auto"/>
        <w:rPr>
          <w:rFonts w:hint="eastAsia" w:ascii="宋体" w:hAnsi="宋体" w:eastAsia="宋体" w:cs="宋体"/>
          <w:b/>
          <w:bCs/>
          <w:color w:val="auto"/>
          <w:sz w:val="21"/>
          <w:szCs w:val="21"/>
          <w:highlight w:val="none"/>
        </w:rPr>
      </w:pPr>
    </w:p>
    <w:p w14:paraId="33446419">
      <w:pPr>
        <w:pStyle w:val="2"/>
        <w:spacing w:beforeLines="0" w:after="0" w:line="360" w:lineRule="auto"/>
        <w:rPr>
          <w:rFonts w:hint="eastAsia" w:ascii="宋体" w:hAnsi="宋体" w:eastAsia="宋体" w:cs="宋体"/>
          <w:color w:val="auto"/>
          <w:sz w:val="21"/>
          <w:szCs w:val="21"/>
          <w:highlight w:val="none"/>
        </w:rPr>
      </w:pPr>
    </w:p>
    <w:p w14:paraId="367F62C6">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说明：</w:t>
      </w:r>
    </w:p>
    <w:p w14:paraId="22B3992C">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1、若投标供应商代表为法定代表人，应提供身份证明（一）-1并提交法定代表人身份证正反面复印件；</w:t>
      </w:r>
    </w:p>
    <w:p w14:paraId="39451A07">
      <w:pPr>
        <w:keepNext w:val="0"/>
        <w:keepLines w:val="0"/>
        <w:widowControl w:val="0"/>
        <w:suppressLineNumbers w:val="0"/>
        <w:spacing w:before="0" w:beforeLines="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2、若投标供应商代表为法定代表人授权代表，应提供授权书（一）-2，并附法定代表人及授权代表的身份证正反面复印件。</w:t>
      </w:r>
    </w:p>
    <w:p w14:paraId="24AD59A1">
      <w:pPr>
        <w:spacing w:beforeLines="0" w:line="360" w:lineRule="auto"/>
        <w:jc w:val="center"/>
        <w:rPr>
          <w:rFonts w:hint="eastAsia" w:ascii="宋体" w:hAnsi="宋体" w:eastAsia="宋体" w:cs="宋体"/>
          <w:b/>
          <w:color w:val="auto"/>
          <w:sz w:val="24"/>
          <w:highlight w:val="none"/>
        </w:rPr>
      </w:pPr>
    </w:p>
    <w:p w14:paraId="0C6EA63A">
      <w:pPr>
        <w:pStyle w:val="2"/>
        <w:spacing w:beforeLines="0" w:after="0" w:line="360" w:lineRule="auto"/>
        <w:rPr>
          <w:rFonts w:hint="eastAsia"/>
          <w:color w:val="auto"/>
          <w:highlight w:val="none"/>
        </w:rPr>
      </w:pPr>
    </w:p>
    <w:p w14:paraId="480ADA5B">
      <w:pPr>
        <w:spacing w:beforeLines="-2147483648"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36CCDE0">
      <w:pPr>
        <w:spacing w:beforeLines="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（二）投标供应商有效的营业执照副本（复印件）</w:t>
      </w:r>
    </w:p>
    <w:p w14:paraId="1192048F">
      <w:pPr>
        <w:spacing w:beforeLines="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（三）地基基础工程专业承包三级及以上资质（复印件）</w:t>
      </w:r>
    </w:p>
    <w:p w14:paraId="24677739">
      <w:pPr>
        <w:spacing w:beforeLines="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（四）供应商“信用中国”(www.creditchina.gov.cn)；“中国政府采购网”（http://www.ccgp.gov.cn/）信用记录网页截图（</w:t>
      </w:r>
      <w:r>
        <w:rPr>
          <w:rFonts w:hint="eastAsia" w:ascii="宋体" w:hAnsi="宋体" w:cs="宋体"/>
          <w:b/>
          <w:bCs/>
          <w:color w:val="auto"/>
          <w:sz w:val="24"/>
          <w:highlight w:val="none"/>
          <w:lang w:val="en-US" w:eastAsia="zh-CN"/>
        </w:rPr>
        <w:t>能体现</w:t>
      </w:r>
      <w:r>
        <w:rPr>
          <w:rFonts w:hint="eastAsia" w:ascii="宋体" w:hAnsi="宋体" w:eastAsia="宋体" w:cs="宋体"/>
          <w:b/>
          <w:bCs/>
          <w:color w:val="auto"/>
          <w:sz w:val="24"/>
          <w:highlight w:val="none"/>
        </w:rPr>
        <w:t>采购公告发布之日至投标截止时间前</w:t>
      </w:r>
      <w:r>
        <w:rPr>
          <w:rFonts w:hint="eastAsia" w:ascii="宋体" w:hAnsi="宋体" w:cs="宋体"/>
          <w:b/>
          <w:bCs/>
          <w:color w:val="auto"/>
          <w:sz w:val="24"/>
          <w:highlight w:val="none"/>
          <w:lang w:val="en-US" w:eastAsia="zh-CN"/>
        </w:rPr>
        <w:t>的截图</w:t>
      </w:r>
      <w:r>
        <w:rPr>
          <w:rFonts w:hint="eastAsia" w:ascii="宋体" w:hAnsi="宋体" w:eastAsia="宋体" w:cs="宋体"/>
          <w:b/>
          <w:bCs/>
          <w:color w:val="auto"/>
          <w:sz w:val="24"/>
          <w:highlight w:val="none"/>
        </w:rPr>
        <w:t>）</w:t>
      </w:r>
    </w:p>
    <w:p w14:paraId="2945B613">
      <w:pPr>
        <w:spacing w:beforeLines="-2147483648"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4EF1BBE">
      <w:pPr>
        <w:pStyle w:val="2"/>
        <w:rPr>
          <w:rFonts w:hint="eastAsia"/>
          <w:color w:val="auto"/>
          <w:highlight w:val="none"/>
        </w:rPr>
      </w:pPr>
    </w:p>
    <w:p w14:paraId="540EB208">
      <w:pPr>
        <w:spacing w:before="0" w:beforeLines="0" w:after="0"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b/>
          <w:color w:val="auto"/>
          <w:sz w:val="24"/>
          <w:highlight w:val="none"/>
        </w:rPr>
        <w:t>（五）关于符合</w:t>
      </w:r>
      <w:r>
        <w:rPr>
          <w:rFonts w:hint="eastAsia" w:ascii="宋体" w:hAnsi="宋体" w:eastAsia="宋体" w:cs="宋体"/>
          <w:b/>
          <w:color w:val="auto"/>
          <w:sz w:val="24"/>
          <w:highlight w:val="none"/>
          <w:lang w:eastAsia="zh-CN"/>
        </w:rPr>
        <w:t>《温州市市属国有企业采购管理办法》</w:t>
      </w: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条规定的承诺函</w:t>
      </w:r>
    </w:p>
    <w:p w14:paraId="2AB8A5B4">
      <w:pPr>
        <w:pStyle w:val="2"/>
        <w:rPr>
          <w:rFonts w:hint="eastAsia"/>
          <w:color w:val="auto"/>
          <w:highlight w:val="none"/>
        </w:rPr>
      </w:pPr>
    </w:p>
    <w:p w14:paraId="402BFD25">
      <w:pPr>
        <w:spacing w:beforeLines="0"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温州交运集团</w:t>
      </w:r>
      <w:r>
        <w:rPr>
          <w:rFonts w:hint="eastAsia" w:ascii="宋体" w:hAnsi="宋体" w:eastAsia="宋体" w:cs="宋体"/>
          <w:b/>
          <w:bCs/>
          <w:color w:val="auto"/>
          <w:spacing w:val="-6"/>
          <w:sz w:val="21"/>
          <w:szCs w:val="21"/>
          <w:highlight w:val="none"/>
          <w:lang w:val="en-US" w:eastAsia="zh-CN"/>
        </w:rPr>
        <w:t>工程运输</w:t>
      </w:r>
      <w:r>
        <w:rPr>
          <w:rFonts w:hint="eastAsia" w:ascii="宋体" w:hAnsi="宋体" w:eastAsia="宋体" w:cs="宋体"/>
          <w:b/>
          <w:bCs/>
          <w:color w:val="auto"/>
          <w:spacing w:val="-6"/>
          <w:sz w:val="21"/>
          <w:szCs w:val="21"/>
          <w:highlight w:val="none"/>
        </w:rPr>
        <w:t>有限公司：</w:t>
      </w:r>
    </w:p>
    <w:p w14:paraId="0CFB9C28">
      <w:pPr>
        <w:spacing w:beforeLines="0" w:line="360" w:lineRule="auto"/>
        <w:rPr>
          <w:rFonts w:hint="eastAsia" w:ascii="宋体" w:hAnsi="宋体" w:eastAsia="宋体" w:cs="宋体"/>
          <w:b/>
          <w:bCs/>
          <w:color w:val="auto"/>
          <w:spacing w:val="-6"/>
          <w:sz w:val="21"/>
          <w:szCs w:val="21"/>
          <w:highlight w:val="none"/>
        </w:rPr>
      </w:pPr>
      <w:r>
        <w:rPr>
          <w:rFonts w:hint="eastAsia" w:ascii="宋体" w:hAnsi="宋体" w:cs="宋体"/>
          <w:b/>
          <w:bCs/>
          <w:color w:val="auto"/>
          <w:sz w:val="21"/>
          <w:szCs w:val="21"/>
          <w:highlight w:val="none"/>
          <w:lang w:eastAsia="zh-CN"/>
        </w:rPr>
        <w:t>中冠工程管理咨询有限公司</w:t>
      </w:r>
      <w:r>
        <w:rPr>
          <w:rFonts w:hint="eastAsia" w:ascii="宋体" w:hAnsi="宋体" w:eastAsia="宋体" w:cs="宋体"/>
          <w:b/>
          <w:bCs/>
          <w:color w:val="auto"/>
          <w:spacing w:val="-6"/>
          <w:sz w:val="21"/>
          <w:szCs w:val="21"/>
          <w:highlight w:val="none"/>
        </w:rPr>
        <w:t>：</w:t>
      </w:r>
    </w:p>
    <w:p w14:paraId="7BDA2D12">
      <w:pPr>
        <w:spacing w:before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我单位就</w:t>
      </w:r>
      <w:r>
        <w:rPr>
          <w:rFonts w:hint="eastAsia" w:ascii="宋体" w:hAnsi="宋体" w:eastAsia="宋体" w:cs="宋体"/>
          <w:color w:val="auto"/>
          <w:sz w:val="21"/>
          <w:szCs w:val="21"/>
          <w:highlight w:val="none"/>
          <w:u w:val="single"/>
        </w:rPr>
        <w:t xml:space="preserve">            （项目名称）           （项目编号）</w:t>
      </w:r>
      <w:r>
        <w:rPr>
          <w:rFonts w:hint="eastAsia" w:ascii="宋体" w:hAnsi="宋体" w:eastAsia="宋体" w:cs="宋体"/>
          <w:color w:val="auto"/>
          <w:sz w:val="21"/>
          <w:szCs w:val="21"/>
          <w:highlight w:val="none"/>
        </w:rPr>
        <w:t>项目承诺具备下列条件：</w:t>
      </w:r>
    </w:p>
    <w:p w14:paraId="2FECF5AF">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（一）具有独立承担民事责任的能力；</w:t>
      </w:r>
    </w:p>
    <w:p w14:paraId="6B395219">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（二）具有良好的商业信誉和健全的财务会计制度；</w:t>
      </w:r>
    </w:p>
    <w:p w14:paraId="40A211D9">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（三）具有履行合同所必需的设备和专业技术、售后保障等能力；</w:t>
      </w:r>
    </w:p>
    <w:p w14:paraId="0722C892">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（四）有依法缴纳税收和社会保障资金的良好记录；</w:t>
      </w:r>
    </w:p>
    <w:p w14:paraId="018E804A">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（五）参加采购、招投标等活动前三年内，在经营活动中没有重大违法记录、严重失信行为和行贿记录；</w:t>
      </w:r>
    </w:p>
    <w:p w14:paraId="4E338D14">
      <w:pPr>
        <w:pStyle w:val="37"/>
        <w:spacing w:before="0" w:beforeLines="0" w:beforeAutospacing="0" w:after="0" w:afterAutospacing="0"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（六）法律、行政法规规定的其他条件。</w:t>
      </w:r>
    </w:p>
    <w:p w14:paraId="5BD26549">
      <w:pPr>
        <w:pStyle w:val="37"/>
        <w:spacing w:before="0" w:beforeLines="0" w:beforeAutospacing="0" w:after="0" w:afterAutospacing="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rPr>
        <w:t>如有虚假，采购人可取消我单位任何资格（投标/中标/签订合同</w:t>
      </w:r>
      <w:r>
        <w:rPr>
          <w:rFonts w:hint="eastAsia" w:ascii="宋体" w:hAnsi="宋体" w:eastAsia="宋体" w:cs="宋体"/>
          <w:b/>
          <w:color w:val="auto"/>
          <w:sz w:val="21"/>
          <w:szCs w:val="21"/>
          <w:highlight w:val="none"/>
        </w:rPr>
        <w:t>），我单位对此无任何异议。</w:t>
      </w:r>
    </w:p>
    <w:p w14:paraId="272AADC9">
      <w:pPr>
        <w:snapToGrid/>
        <w:spacing w:beforeLines="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特此承诺！</w:t>
      </w:r>
    </w:p>
    <w:p w14:paraId="1BBFCB91">
      <w:pPr>
        <w:spacing w:beforeLines="0" w:line="360" w:lineRule="auto"/>
        <w:rPr>
          <w:rFonts w:hint="eastAsia" w:ascii="宋体" w:hAnsi="宋体" w:eastAsia="宋体" w:cs="宋体"/>
          <w:color w:val="auto"/>
          <w:sz w:val="21"/>
          <w:szCs w:val="21"/>
          <w:highlight w:val="none"/>
        </w:rPr>
      </w:pPr>
    </w:p>
    <w:p w14:paraId="024F45B7">
      <w:pPr>
        <w:pStyle w:val="19"/>
        <w:spacing w:beforeLines="0" w:line="360" w:lineRule="auto"/>
        <w:jc w:val="both"/>
        <w:rPr>
          <w:rFonts w:hint="eastAsia" w:ascii="宋体" w:hAnsi="宋体" w:eastAsia="宋体" w:cs="宋体"/>
          <w:color w:val="auto"/>
          <w:sz w:val="21"/>
          <w:szCs w:val="21"/>
          <w:highlight w:val="none"/>
        </w:rPr>
      </w:pPr>
    </w:p>
    <w:p w14:paraId="45328297">
      <w:pPr>
        <w:pStyle w:val="19"/>
        <w:spacing w:before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投标供应商全称（公章）：</w:t>
      </w:r>
    </w:p>
    <w:p w14:paraId="12F152DB">
      <w:pPr>
        <w:pStyle w:val="19"/>
        <w:spacing w:before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77356FB7">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770CDDC7">
      <w:pPr>
        <w:pStyle w:val="19"/>
        <w:spacing w:beforeLines="0" w:line="360" w:lineRule="auto"/>
        <w:jc w:val="both"/>
        <w:rPr>
          <w:rFonts w:hint="eastAsia" w:ascii="宋体" w:hAnsi="宋体" w:eastAsia="宋体" w:cs="宋体"/>
          <w:color w:val="auto"/>
          <w:sz w:val="21"/>
          <w:szCs w:val="21"/>
          <w:highlight w:val="none"/>
        </w:rPr>
      </w:pPr>
    </w:p>
    <w:p w14:paraId="1F743E3E">
      <w:pPr>
        <w:spacing w:beforeLines="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承诺函内容不得自行更改，不提供承诺函或更改承诺函内容将被视为没有实质性响应采购文件。</w:t>
      </w:r>
    </w:p>
    <w:p w14:paraId="558BEACE">
      <w:pPr>
        <w:spacing w:beforeLines="0" w:line="360" w:lineRule="auto"/>
        <w:rPr>
          <w:rFonts w:hint="eastAsia" w:ascii="宋体" w:hAnsi="宋体" w:eastAsia="宋体" w:cs="宋体"/>
          <w:color w:val="auto"/>
          <w:sz w:val="21"/>
          <w:szCs w:val="21"/>
          <w:highlight w:val="none"/>
        </w:rPr>
      </w:pPr>
    </w:p>
    <w:p w14:paraId="7DD82EA3">
      <w:pPr>
        <w:spacing w:beforeLines="0" w:line="360" w:lineRule="auto"/>
        <w:rPr>
          <w:rFonts w:hint="eastAsia" w:ascii="宋体" w:hAnsi="宋体" w:eastAsia="宋体" w:cs="宋体"/>
          <w:color w:val="auto"/>
          <w:highlight w:val="none"/>
        </w:rPr>
      </w:pPr>
    </w:p>
    <w:p w14:paraId="0535A62C">
      <w:pPr>
        <w:spacing w:beforeLines="0" w:line="360" w:lineRule="auto"/>
        <w:rPr>
          <w:rFonts w:hint="eastAsia" w:ascii="宋体" w:hAnsi="宋体" w:eastAsia="宋体" w:cs="宋体"/>
          <w:color w:val="auto"/>
          <w:highlight w:val="none"/>
        </w:rPr>
      </w:pPr>
    </w:p>
    <w:p w14:paraId="7975FC31">
      <w:pPr>
        <w:spacing w:beforeLines="0" w:line="360" w:lineRule="auto"/>
        <w:rPr>
          <w:rFonts w:hint="eastAsia" w:ascii="宋体" w:hAnsi="宋体" w:eastAsia="宋体" w:cs="宋体"/>
          <w:color w:val="auto"/>
          <w:highlight w:val="none"/>
        </w:rPr>
      </w:pPr>
    </w:p>
    <w:p w14:paraId="32BD0A6D">
      <w:pPr>
        <w:spacing w:beforeLines="0" w:line="360" w:lineRule="auto"/>
        <w:rPr>
          <w:rFonts w:hint="eastAsia" w:ascii="宋体" w:hAnsi="宋体" w:eastAsia="宋体" w:cs="宋体"/>
          <w:color w:val="auto"/>
          <w:highlight w:val="none"/>
        </w:rPr>
      </w:pPr>
    </w:p>
    <w:p w14:paraId="5A8F7D46">
      <w:pPr>
        <w:spacing w:beforeLines="0" w:line="360" w:lineRule="auto"/>
        <w:rPr>
          <w:rFonts w:hint="eastAsia" w:ascii="宋体" w:hAnsi="宋体" w:eastAsia="宋体" w:cs="宋体"/>
          <w:color w:val="auto"/>
          <w:highlight w:val="none"/>
        </w:rPr>
      </w:pPr>
    </w:p>
    <w:p w14:paraId="129C6A19">
      <w:pPr>
        <w:spacing w:beforeLines="0" w:line="360" w:lineRule="auto"/>
        <w:rPr>
          <w:rFonts w:hint="eastAsia" w:ascii="宋体" w:hAnsi="宋体" w:eastAsia="宋体" w:cs="宋体"/>
          <w:color w:val="auto"/>
          <w:sz w:val="24"/>
          <w:szCs w:val="24"/>
          <w:highlight w:val="none"/>
        </w:rPr>
      </w:pPr>
      <w:bookmarkStart w:id="167" w:name="_Toc20037"/>
      <w:bookmarkStart w:id="168" w:name="_Toc13565"/>
      <w:bookmarkStart w:id="169" w:name="_Toc511308243"/>
      <w:bookmarkStart w:id="170" w:name="_Toc25160"/>
      <w:bookmarkStart w:id="171" w:name="_Toc6267"/>
      <w:r>
        <w:rPr>
          <w:rFonts w:hint="eastAsia" w:ascii="宋体" w:hAnsi="宋体" w:eastAsia="宋体" w:cs="宋体"/>
          <w:color w:val="auto"/>
          <w:sz w:val="24"/>
          <w:szCs w:val="24"/>
          <w:highlight w:val="none"/>
        </w:rPr>
        <w:br w:type="page"/>
      </w:r>
    </w:p>
    <w:p w14:paraId="273667CB">
      <w:pPr>
        <w:pStyle w:val="6"/>
        <w:spacing w:before="0" w:beforeLines="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附件五 商务条款、技术规格偏离表</w:t>
      </w:r>
      <w:bookmarkEnd w:id="164"/>
      <w:bookmarkEnd w:id="167"/>
      <w:bookmarkEnd w:id="168"/>
      <w:bookmarkEnd w:id="169"/>
      <w:bookmarkEnd w:id="170"/>
      <w:bookmarkEnd w:id="171"/>
    </w:p>
    <w:p w14:paraId="6C752429">
      <w:pPr>
        <w:spacing w:beforeLines="0" w:line="360" w:lineRule="auto"/>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商务条款、技术规格偏离表</w:t>
      </w:r>
    </w:p>
    <w:p w14:paraId="71F8DC10">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项目名称：                                             项目编号：</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1800"/>
        <w:gridCol w:w="1800"/>
      </w:tblGrid>
      <w:tr w14:paraId="1B04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D9D9D9"/>
            <w:noWrap w:val="0"/>
            <w:vAlign w:val="center"/>
          </w:tcPr>
          <w:p w14:paraId="04D8D2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c>
          <w:tcPr>
            <w:tcW w:w="1954" w:type="dxa"/>
            <w:shd w:val="clear" w:color="auto" w:fill="D9D9D9"/>
            <w:noWrap w:val="0"/>
            <w:vAlign w:val="center"/>
          </w:tcPr>
          <w:p w14:paraId="7AC9988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采购文件</w:t>
            </w:r>
          </w:p>
          <w:p w14:paraId="46232F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条目</w:t>
            </w:r>
          </w:p>
        </w:tc>
        <w:tc>
          <w:tcPr>
            <w:tcW w:w="1980" w:type="dxa"/>
            <w:shd w:val="clear" w:color="auto" w:fill="D9D9D9"/>
            <w:noWrap w:val="0"/>
            <w:vAlign w:val="center"/>
          </w:tcPr>
          <w:p w14:paraId="0552EB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采购文件</w:t>
            </w:r>
          </w:p>
          <w:p w14:paraId="3E34F6D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规格要求</w:t>
            </w:r>
          </w:p>
        </w:tc>
        <w:tc>
          <w:tcPr>
            <w:tcW w:w="1800" w:type="dxa"/>
            <w:shd w:val="clear" w:color="auto" w:fill="D9D9D9"/>
            <w:noWrap w:val="0"/>
            <w:vAlign w:val="center"/>
          </w:tcPr>
          <w:p w14:paraId="4D51039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w:t>
            </w:r>
          </w:p>
          <w:p w14:paraId="503E08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对应规格</w:t>
            </w:r>
          </w:p>
        </w:tc>
        <w:tc>
          <w:tcPr>
            <w:tcW w:w="1800" w:type="dxa"/>
            <w:shd w:val="clear" w:color="auto" w:fill="D9D9D9"/>
            <w:noWrap w:val="0"/>
            <w:vAlign w:val="center"/>
          </w:tcPr>
          <w:p w14:paraId="5002BC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   明</w:t>
            </w:r>
          </w:p>
        </w:tc>
      </w:tr>
      <w:tr w14:paraId="7072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55963D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1954" w:type="dxa"/>
            <w:noWrap w:val="0"/>
            <w:vAlign w:val="center"/>
          </w:tcPr>
          <w:p w14:paraId="2A9FDD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429568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4975E5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3F6075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7542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24852F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5FFE06C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5303EC7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DBCE9A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0B91579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7F46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762DB0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79341A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7842F8F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65E5EF0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5305A6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3AA5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458617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22ADBF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0275D9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6FEA43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34F0D29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1ED1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79F7D0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18401E9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316DA81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63627E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2664DF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203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0E16337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w:t>
            </w:r>
          </w:p>
        </w:tc>
        <w:tc>
          <w:tcPr>
            <w:tcW w:w="1954" w:type="dxa"/>
            <w:noWrap w:val="0"/>
            <w:vAlign w:val="center"/>
          </w:tcPr>
          <w:p w14:paraId="402463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355CD4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2CB0DA7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668594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24E4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1A1945F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58F6053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5CA09C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739F4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70947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4F79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4D90A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117E155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4FAA49E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41342E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54939CA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3B48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212F8B7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33C9A6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51CF01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66DF48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56558A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5526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5C8F1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63C35C2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6D3FA4B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42E107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4DEE53D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62E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37DC85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54" w:type="dxa"/>
            <w:noWrap w:val="0"/>
            <w:vAlign w:val="center"/>
          </w:tcPr>
          <w:p w14:paraId="61F12DD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0" w:type="dxa"/>
            <w:noWrap w:val="0"/>
            <w:vAlign w:val="center"/>
          </w:tcPr>
          <w:p w14:paraId="131ECC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A793B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800" w:type="dxa"/>
            <w:noWrap w:val="0"/>
            <w:vAlign w:val="center"/>
          </w:tcPr>
          <w:p w14:paraId="791F2A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bl>
    <w:p w14:paraId="0DCD0808">
      <w:pPr>
        <w:pStyle w:val="25"/>
        <w:spacing w:beforeLines="0" w:line="360" w:lineRule="auto"/>
        <w:ind w:left="537" w:hanging="512" w:hangingChars="2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 如有偏离，必须在偏离表中进行详细对比说明并注明正偏离和负偏离，如不说明偏离情况，视为完全响应采购文件要求无偏离。</w:t>
      </w:r>
    </w:p>
    <w:p w14:paraId="28727674">
      <w:pPr>
        <w:spacing w:beforeLines="0" w:line="360" w:lineRule="auto"/>
        <w:rPr>
          <w:rFonts w:hint="eastAsia" w:ascii="宋体" w:hAnsi="宋体" w:eastAsia="宋体" w:cs="宋体"/>
          <w:color w:val="auto"/>
          <w:sz w:val="21"/>
          <w:szCs w:val="21"/>
          <w:highlight w:val="none"/>
        </w:rPr>
      </w:pPr>
    </w:p>
    <w:p w14:paraId="5789672A">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278E5C05">
      <w:pPr>
        <w:spacing w:beforeLines="0"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法定代表人或授权代表（签字或盖章）：</w:t>
      </w:r>
      <w:r>
        <w:rPr>
          <w:rFonts w:hint="eastAsia" w:ascii="宋体" w:hAnsi="宋体" w:cs="宋体"/>
          <w:color w:val="auto"/>
          <w:sz w:val="21"/>
          <w:szCs w:val="21"/>
          <w:highlight w:val="none"/>
          <w:u w:val="single"/>
          <w:lang w:val="en-US" w:eastAsia="zh-CN"/>
        </w:rPr>
        <w:t xml:space="preserve">          </w:t>
      </w:r>
    </w:p>
    <w:p w14:paraId="30639D89">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bookmarkEnd w:id="165"/>
    <w:p w14:paraId="033954AB">
      <w:pPr>
        <w:spacing w:beforeLines="0" w:line="360" w:lineRule="auto"/>
        <w:rPr>
          <w:rFonts w:hint="eastAsia" w:ascii="宋体" w:hAnsi="宋体" w:eastAsia="宋体" w:cs="宋体"/>
          <w:b/>
          <w:bCs/>
          <w:color w:val="auto"/>
          <w:sz w:val="24"/>
          <w:highlight w:val="none"/>
        </w:rPr>
      </w:pPr>
      <w:bookmarkStart w:id="172" w:name="_Toc467313843"/>
      <w:bookmarkStart w:id="173" w:name="_Toc352704743"/>
      <w:bookmarkStart w:id="174" w:name="_Toc230773790"/>
      <w:bookmarkStart w:id="175" w:name="_Toc420830619"/>
      <w:bookmarkStart w:id="176" w:name="_Toc474769413"/>
      <w:bookmarkStart w:id="177" w:name="_Toc2252"/>
      <w:bookmarkStart w:id="178" w:name="_Toc17552"/>
      <w:bookmarkStart w:id="179" w:name="_Toc230773793"/>
      <w:r>
        <w:rPr>
          <w:rFonts w:hint="eastAsia" w:ascii="宋体" w:hAnsi="宋体" w:eastAsia="宋体" w:cs="宋体"/>
          <w:b/>
          <w:bCs/>
          <w:color w:val="auto"/>
          <w:sz w:val="24"/>
          <w:highlight w:val="none"/>
        </w:rPr>
        <w:br w:type="page"/>
      </w:r>
    </w:p>
    <w:p w14:paraId="47C25A94">
      <w:pPr>
        <w:spacing w:beforeLines="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附件六  </w:t>
      </w:r>
    </w:p>
    <w:p w14:paraId="09FA1C77">
      <w:pPr>
        <w:spacing w:beforeLines="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同类项目业绩表</w:t>
      </w:r>
    </w:p>
    <w:p w14:paraId="57E6D357">
      <w:pPr>
        <w:spacing w:beforeLines="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                                        项目编号：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689"/>
        <w:gridCol w:w="1950"/>
        <w:gridCol w:w="1455"/>
        <w:gridCol w:w="1680"/>
        <w:gridCol w:w="1836"/>
      </w:tblGrid>
      <w:tr w14:paraId="3A8A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shd w:val="clear" w:color="auto" w:fill="CCCCCC"/>
            <w:noWrap w:val="0"/>
            <w:vAlign w:val="center"/>
          </w:tcPr>
          <w:p w14:paraId="0A6597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89" w:type="dxa"/>
            <w:shd w:val="clear" w:color="auto" w:fill="CCCCCC"/>
            <w:noWrap w:val="0"/>
            <w:vAlign w:val="center"/>
          </w:tcPr>
          <w:p w14:paraId="11C1F32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用户名称</w:t>
            </w:r>
          </w:p>
        </w:tc>
        <w:tc>
          <w:tcPr>
            <w:tcW w:w="1950" w:type="dxa"/>
            <w:shd w:val="clear" w:color="auto" w:fill="CCCCCC"/>
            <w:noWrap w:val="0"/>
            <w:vAlign w:val="center"/>
          </w:tcPr>
          <w:p w14:paraId="1D17FCE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55" w:type="dxa"/>
            <w:shd w:val="clear" w:color="auto" w:fill="CCCCCC"/>
            <w:noWrap w:val="0"/>
            <w:vAlign w:val="center"/>
          </w:tcPr>
          <w:p w14:paraId="324530C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tc>
        <w:tc>
          <w:tcPr>
            <w:tcW w:w="1680" w:type="dxa"/>
            <w:shd w:val="clear" w:color="auto" w:fill="CCCCCC"/>
            <w:noWrap w:val="0"/>
            <w:vAlign w:val="center"/>
          </w:tcPr>
          <w:p w14:paraId="4ACD1C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实施时间</w:t>
            </w:r>
          </w:p>
        </w:tc>
        <w:tc>
          <w:tcPr>
            <w:tcW w:w="1836" w:type="dxa"/>
            <w:shd w:val="clear" w:color="auto" w:fill="CCCCCC"/>
            <w:noWrap w:val="0"/>
            <w:vAlign w:val="center"/>
          </w:tcPr>
          <w:p w14:paraId="379D6A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用户联系人/联系方式</w:t>
            </w:r>
          </w:p>
        </w:tc>
      </w:tr>
      <w:tr w14:paraId="14B6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0490BF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5DD612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370EC2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358902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78CA79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0B1A65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367A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21DF7DC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61B5EB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746860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062538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5B239E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4E688A0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2094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7B0D5C8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21D14F3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0AD283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354291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58B2AD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3B872D0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2732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472E5C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656413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76640C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2916CD3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3EEA8CA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77DF6AD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7740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217107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2C80CD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66FE96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357967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6277D89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0ED935A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4ED6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7E8BB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03BE367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66FB2E1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06FA1A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215A1E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5C13CA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337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014A957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119102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003967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31B37BC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1762E8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418729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3FDD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79BB60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425DB40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4DECC9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74ACA8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6672F55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672AF3B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72B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3C6521F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6758C8A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0EE31B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4E1178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0B67471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6F55422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3BF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1EF08B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715ED1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61D366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730009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1C347CC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0768510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r w14:paraId="4359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14:paraId="2E0EB5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9" w:type="dxa"/>
            <w:noWrap w:val="0"/>
            <w:vAlign w:val="center"/>
          </w:tcPr>
          <w:p w14:paraId="3843E31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950" w:type="dxa"/>
            <w:noWrap w:val="0"/>
            <w:vAlign w:val="center"/>
          </w:tcPr>
          <w:p w14:paraId="5FCE4E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455" w:type="dxa"/>
            <w:noWrap w:val="0"/>
            <w:vAlign w:val="center"/>
          </w:tcPr>
          <w:p w14:paraId="29E4AF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680" w:type="dxa"/>
            <w:noWrap w:val="0"/>
            <w:vAlign w:val="center"/>
          </w:tcPr>
          <w:p w14:paraId="09B8A2E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c>
          <w:tcPr>
            <w:tcW w:w="1836" w:type="dxa"/>
            <w:noWrap w:val="0"/>
            <w:vAlign w:val="center"/>
          </w:tcPr>
          <w:p w14:paraId="2F2AE3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p>
        </w:tc>
      </w:tr>
    </w:tbl>
    <w:p w14:paraId="03CBEC28">
      <w:pPr>
        <w:spacing w:beforeLines="0" w:line="360" w:lineRule="auto"/>
        <w:ind w:left="66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注：1.根据评分细则要求提供相关证明材料（复印件）。</w:t>
      </w:r>
    </w:p>
    <w:p w14:paraId="21B49296">
      <w:pPr>
        <w:spacing w:beforeLines="0" w:line="360" w:lineRule="auto"/>
        <w:ind w:left="718" w:leftChars="200" w:hanging="298" w:hangingChars="1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2.投标供应商可按此表格式复制。</w:t>
      </w:r>
    </w:p>
    <w:p w14:paraId="405CDD6A">
      <w:pPr>
        <w:spacing w:beforeLines="0" w:line="360" w:lineRule="auto"/>
        <w:rPr>
          <w:rFonts w:hint="eastAsia" w:ascii="宋体" w:hAnsi="宋体" w:eastAsia="宋体" w:cs="宋体"/>
          <w:color w:val="auto"/>
          <w:sz w:val="21"/>
          <w:szCs w:val="21"/>
          <w:highlight w:val="none"/>
        </w:rPr>
      </w:pPr>
    </w:p>
    <w:p w14:paraId="26380D11">
      <w:pPr>
        <w:spacing w:beforeLines="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投标供应商全称（公章）：</w:t>
      </w:r>
      <w:r>
        <w:rPr>
          <w:rFonts w:hint="eastAsia" w:ascii="宋体" w:hAnsi="宋体" w:cs="宋体"/>
          <w:color w:val="auto"/>
          <w:sz w:val="21"/>
          <w:szCs w:val="21"/>
          <w:highlight w:val="none"/>
          <w:u w:val="single"/>
          <w:lang w:val="en-US" w:eastAsia="zh-CN"/>
        </w:rPr>
        <w:t xml:space="preserve">                      </w:t>
      </w:r>
    </w:p>
    <w:p w14:paraId="402E463D">
      <w:pPr>
        <w:spacing w:beforeLines="0"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法定代表人或授权代表（签字或盖章）：</w:t>
      </w:r>
      <w:r>
        <w:rPr>
          <w:rFonts w:hint="eastAsia" w:ascii="宋体" w:hAnsi="宋体" w:cs="宋体"/>
          <w:color w:val="auto"/>
          <w:sz w:val="21"/>
          <w:szCs w:val="21"/>
          <w:highlight w:val="none"/>
          <w:u w:val="single"/>
          <w:lang w:val="en-US" w:eastAsia="zh-CN"/>
        </w:rPr>
        <w:t xml:space="preserve">          </w:t>
      </w:r>
    </w:p>
    <w:p w14:paraId="0389FB5D">
      <w:pPr>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日</w:t>
      </w:r>
    </w:p>
    <w:p w14:paraId="30BBAB4A">
      <w:pPr>
        <w:spacing w:beforeLines="0" w:line="360" w:lineRule="auto"/>
        <w:rPr>
          <w:rFonts w:hint="eastAsia" w:ascii="宋体" w:hAnsi="宋体" w:eastAsia="宋体" w:cs="宋体"/>
          <w:color w:val="auto"/>
          <w:sz w:val="21"/>
          <w:szCs w:val="21"/>
          <w:highlight w:val="none"/>
        </w:rPr>
      </w:pPr>
    </w:p>
    <w:p w14:paraId="79538EC4">
      <w:pPr>
        <w:spacing w:beforeLines="0" w:line="360" w:lineRule="auto"/>
        <w:rPr>
          <w:rFonts w:hint="eastAsia" w:ascii="宋体" w:hAnsi="宋体" w:eastAsia="宋体" w:cs="宋体"/>
          <w:color w:val="auto"/>
          <w:sz w:val="22"/>
          <w:szCs w:val="22"/>
          <w:highlight w:val="none"/>
        </w:rPr>
      </w:pPr>
    </w:p>
    <w:p w14:paraId="493960E0">
      <w:pPr>
        <w:spacing w:beforeLines="0" w:line="360" w:lineRule="auto"/>
        <w:rPr>
          <w:rFonts w:hint="eastAsia" w:ascii="宋体" w:hAnsi="宋体" w:eastAsia="宋体" w:cs="宋体"/>
          <w:color w:val="auto"/>
          <w:sz w:val="22"/>
          <w:szCs w:val="22"/>
          <w:highlight w:val="none"/>
        </w:rPr>
      </w:pPr>
    </w:p>
    <w:p w14:paraId="0D0A7465">
      <w:pPr>
        <w:spacing w:beforeLines="0" w:line="360" w:lineRule="auto"/>
        <w:rPr>
          <w:rFonts w:hint="eastAsia" w:ascii="宋体" w:hAnsi="宋体" w:eastAsia="宋体" w:cs="宋体"/>
          <w:color w:val="auto"/>
          <w:sz w:val="22"/>
          <w:szCs w:val="22"/>
          <w:highlight w:val="none"/>
        </w:rPr>
      </w:pPr>
    </w:p>
    <w:p w14:paraId="2D1B99AE">
      <w:pPr>
        <w:shd w:val="clear" w:color="auto" w:fill="auto"/>
        <w:spacing w:beforeLines="0" w:line="360" w:lineRule="auto"/>
        <w:jc w:val="center"/>
        <w:rPr>
          <w:rFonts w:hint="eastAsia" w:ascii="宋体" w:hAnsi="宋体" w:eastAsia="宋体" w:cs="宋体"/>
          <w:b w:val="0"/>
          <w:bCs w:val="0"/>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val="0"/>
          <w:bCs w:val="0"/>
          <w:color w:val="auto"/>
          <w:sz w:val="30"/>
          <w:szCs w:val="30"/>
          <w:highlight w:val="none"/>
        </w:rPr>
        <w:t>根据采购文件中的采购内容及要求以及技术资信评分项目逐项编制，需编制目录索引，注明评分细则项目所在投标文件页码。</w:t>
      </w:r>
    </w:p>
    <w:p w14:paraId="167BA7D7">
      <w:pPr>
        <w:shd w:val="clear" w:color="auto" w:fill="auto"/>
        <w:spacing w:beforeLines="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val="0"/>
          <w:bCs w:val="0"/>
          <w:color w:val="auto"/>
          <w:sz w:val="30"/>
          <w:szCs w:val="30"/>
          <w:highlight w:val="none"/>
        </w:rPr>
        <w:t>本文件《第三部分  附件》附件中未提供格式的，可自行拟定格式。</w:t>
      </w:r>
    </w:p>
    <w:p w14:paraId="335C8946">
      <w:pPr>
        <w:shd w:val="clear" w:color="auto" w:fill="auto"/>
        <w:spacing w:beforeLines="0" w:line="360" w:lineRule="auto"/>
        <w:jc w:val="center"/>
        <w:rPr>
          <w:rFonts w:hint="eastAsia" w:ascii="宋体" w:hAnsi="宋体" w:eastAsia="宋体" w:cs="宋体"/>
          <w:b/>
          <w:bCs/>
          <w:color w:val="auto"/>
          <w:sz w:val="32"/>
          <w:szCs w:val="32"/>
          <w:highlight w:val="none"/>
        </w:rPr>
      </w:pPr>
    </w:p>
    <w:p w14:paraId="1E6E3E41">
      <w:pPr>
        <w:shd w:val="clear" w:color="auto" w:fill="auto"/>
        <w:spacing w:beforeLines="0" w:line="360" w:lineRule="auto"/>
        <w:jc w:val="center"/>
        <w:rPr>
          <w:rFonts w:hint="eastAsia" w:ascii="宋体" w:hAnsi="宋体" w:eastAsia="宋体" w:cs="宋体"/>
          <w:b/>
          <w:bCs/>
          <w:color w:val="auto"/>
          <w:sz w:val="32"/>
          <w:szCs w:val="32"/>
          <w:highlight w:val="none"/>
        </w:rPr>
      </w:pPr>
    </w:p>
    <w:p w14:paraId="7232B604">
      <w:pPr>
        <w:shd w:val="clear" w:color="auto" w:fill="auto"/>
        <w:spacing w:beforeLines="0" w:line="360" w:lineRule="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投标供应商</w:t>
      </w:r>
      <w:r>
        <w:rPr>
          <w:rFonts w:hint="eastAsia" w:ascii="宋体" w:hAnsi="宋体" w:eastAsia="宋体" w:cs="宋体"/>
          <w:b/>
          <w:bCs/>
          <w:color w:val="auto"/>
          <w:sz w:val="32"/>
          <w:szCs w:val="32"/>
          <w:highlight w:val="none"/>
        </w:rPr>
        <w:t>公司简介以及认为需要提供的其他相关资料</w:t>
      </w:r>
    </w:p>
    <w:p w14:paraId="688E8A0E">
      <w:pPr>
        <w:pStyle w:val="83"/>
        <w:spacing w:beforeLines="0" w:line="360" w:lineRule="auto"/>
        <w:rPr>
          <w:rFonts w:hint="eastAsia" w:ascii="宋体" w:hAnsi="宋体" w:eastAsia="宋体" w:cs="宋体"/>
          <w:color w:val="auto"/>
          <w:highlight w:val="none"/>
        </w:rPr>
      </w:pPr>
    </w:p>
    <w:p w14:paraId="27CF64C9">
      <w:pPr>
        <w:spacing w:beforeLines="0" w:line="360" w:lineRule="auto"/>
        <w:rPr>
          <w:rFonts w:hint="eastAsia" w:ascii="宋体" w:hAnsi="宋体" w:eastAsia="宋体" w:cs="宋体"/>
          <w:color w:val="auto"/>
          <w:sz w:val="22"/>
          <w:szCs w:val="22"/>
          <w:highlight w:val="none"/>
        </w:rPr>
      </w:pPr>
    </w:p>
    <w:bookmarkEnd w:id="172"/>
    <w:bookmarkEnd w:id="173"/>
    <w:bookmarkEnd w:id="174"/>
    <w:bookmarkEnd w:id="175"/>
    <w:bookmarkEnd w:id="176"/>
    <w:p w14:paraId="541D4E72">
      <w:pPr>
        <w:pStyle w:val="2"/>
        <w:spacing w:beforeLines="0" w:after="0" w:line="360" w:lineRule="auto"/>
        <w:rPr>
          <w:rFonts w:hint="eastAsia" w:ascii="宋体" w:hAnsi="宋体" w:eastAsia="宋体" w:cs="宋体"/>
          <w:color w:val="auto"/>
          <w:sz w:val="22"/>
          <w:szCs w:val="22"/>
          <w:highlight w:val="none"/>
        </w:rPr>
      </w:pPr>
    </w:p>
    <w:p w14:paraId="271FB15B">
      <w:pPr>
        <w:pStyle w:val="3"/>
        <w:spacing w:beforeLines="0" w:after="0" w:line="360" w:lineRule="auto"/>
        <w:rPr>
          <w:rFonts w:hint="eastAsia" w:ascii="宋体" w:hAnsi="宋体" w:eastAsia="宋体" w:cs="宋体"/>
          <w:b/>
          <w:bCs/>
          <w:color w:val="auto"/>
          <w:sz w:val="22"/>
          <w:szCs w:val="22"/>
          <w:highlight w:val="none"/>
        </w:rPr>
      </w:pPr>
    </w:p>
    <w:bookmarkEnd w:id="177"/>
    <w:bookmarkEnd w:id="178"/>
    <w:p w14:paraId="343712BF">
      <w:pPr>
        <w:pStyle w:val="5"/>
        <w:snapToGrid/>
        <w:spacing w:beforeLines="0"/>
        <w:ind w:firstLine="2570" w:firstLineChars="800"/>
        <w:jc w:val="both"/>
        <w:rPr>
          <w:rFonts w:hint="eastAsia" w:ascii="宋体" w:hAnsi="宋体" w:eastAsia="宋体" w:cs="宋体"/>
          <w:color w:val="auto"/>
          <w:sz w:val="32"/>
          <w:szCs w:val="32"/>
          <w:highlight w:val="none"/>
        </w:rPr>
      </w:pPr>
      <w:bookmarkStart w:id="180" w:name="_Toc20726"/>
      <w:bookmarkStart w:id="181" w:name="_Toc27360"/>
      <w:bookmarkStart w:id="182" w:name="_Toc21376"/>
      <w:bookmarkStart w:id="183" w:name="_Toc10293"/>
      <w:bookmarkStart w:id="184" w:name="_Toc8848"/>
      <w:bookmarkStart w:id="185" w:name="_Toc17774"/>
      <w:bookmarkStart w:id="186" w:name="_Toc25111"/>
      <w:bookmarkStart w:id="187" w:name="_Toc16315"/>
      <w:bookmarkStart w:id="188" w:name="_Toc22128"/>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第四部分 采购内容及要求</w:t>
      </w:r>
      <w:bookmarkEnd w:id="179"/>
      <w:bookmarkEnd w:id="180"/>
      <w:bookmarkEnd w:id="181"/>
      <w:bookmarkEnd w:id="182"/>
      <w:bookmarkEnd w:id="183"/>
      <w:bookmarkEnd w:id="184"/>
      <w:bookmarkEnd w:id="185"/>
      <w:bookmarkEnd w:id="186"/>
      <w:bookmarkEnd w:id="187"/>
      <w:bookmarkEnd w:id="188"/>
      <w:bookmarkStart w:id="189" w:name="_Toc230773795"/>
    </w:p>
    <w:p w14:paraId="754266D3">
      <w:pPr>
        <w:keepNext w:val="0"/>
        <w:keepLines w:val="0"/>
        <w:pageBreakBefore w:val="0"/>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Cs w:val="21"/>
          <w:highlight w:val="none"/>
        </w:rPr>
      </w:pPr>
      <w:bookmarkStart w:id="190" w:name="_Toc31159"/>
      <w:bookmarkStart w:id="191" w:name="_Toc12718"/>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概况：</w:t>
      </w:r>
    </w:p>
    <w:p w14:paraId="066BB3D3">
      <w:pPr>
        <w:keepNext w:val="0"/>
        <w:keepLines w:val="0"/>
        <w:pageBreakBefore w:val="0"/>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本项目工程地址位于</w:t>
      </w:r>
      <w:r>
        <w:rPr>
          <w:rFonts w:hint="eastAsia" w:ascii="宋体" w:hAnsi="宋体" w:cs="宋体"/>
          <w:color w:val="auto"/>
          <w:sz w:val="21"/>
          <w:szCs w:val="21"/>
          <w:highlight w:val="none"/>
          <w:lang w:val="en-US" w:eastAsia="zh-CN"/>
        </w:rPr>
        <w:t>温州市</w:t>
      </w:r>
      <w:r>
        <w:rPr>
          <w:rFonts w:hint="eastAsia" w:ascii="宋体" w:hAnsi="宋体" w:cs="宋体"/>
          <w:color w:val="auto"/>
          <w:kern w:val="2"/>
          <w:sz w:val="21"/>
          <w:szCs w:val="21"/>
          <w:highlight w:val="none"/>
          <w:lang w:val="en-US" w:eastAsia="zh-CN"/>
        </w:rPr>
        <w:t>温州湾新区瓯飞集团龙湾二期1#围区土方消纳场</w:t>
      </w:r>
      <w:r>
        <w:rPr>
          <w:rFonts w:hint="eastAsia" w:ascii="宋体" w:hAnsi="宋体" w:eastAsia="宋体" w:cs="宋体"/>
          <w:color w:val="auto"/>
          <w:sz w:val="21"/>
          <w:szCs w:val="21"/>
          <w:highlight w:val="none"/>
          <w:lang w:val="en-US" w:eastAsia="zh-CN"/>
        </w:rPr>
        <w:t>（以消纳场管理单位指定为准）</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瓯</w:t>
      </w:r>
      <w:r>
        <w:rPr>
          <w:rFonts w:hint="eastAsia" w:ascii="宋体" w:hAnsi="宋体" w:cs="宋体"/>
          <w:color w:val="auto"/>
          <w:kern w:val="2"/>
          <w:sz w:val="21"/>
          <w:szCs w:val="21"/>
          <w:highlight w:val="none"/>
          <w:lang w:val="en-US" w:eastAsia="zh-CN"/>
        </w:rPr>
        <w:t>飞后</w:t>
      </w:r>
      <w:r>
        <w:rPr>
          <w:rFonts w:hint="eastAsia" w:ascii="宋体" w:hAnsi="宋体" w:eastAsia="宋体" w:cs="宋体"/>
          <w:color w:val="auto"/>
          <w:kern w:val="2"/>
          <w:sz w:val="21"/>
          <w:szCs w:val="21"/>
          <w:highlight w:val="none"/>
        </w:rPr>
        <w:t>场</w:t>
      </w:r>
      <w:r>
        <w:rPr>
          <w:rFonts w:hint="eastAsia" w:ascii="宋体" w:hAnsi="宋体" w:cs="宋体"/>
          <w:color w:val="auto"/>
          <w:kern w:val="2"/>
          <w:sz w:val="21"/>
          <w:szCs w:val="21"/>
          <w:highlight w:val="none"/>
          <w:lang w:val="en-US" w:eastAsia="zh-CN"/>
        </w:rPr>
        <w:t>分项</w:t>
      </w:r>
      <w:r>
        <w:rPr>
          <w:rFonts w:hint="eastAsia" w:ascii="宋体" w:hAnsi="宋体" w:eastAsia="宋体" w:cs="宋体"/>
          <w:color w:val="auto"/>
          <w:kern w:val="2"/>
          <w:sz w:val="21"/>
          <w:szCs w:val="21"/>
          <w:highlight w:val="none"/>
        </w:rPr>
        <w:t>工程总</w:t>
      </w:r>
      <w:r>
        <w:rPr>
          <w:rFonts w:hint="eastAsia" w:ascii="宋体" w:hAnsi="宋体" w:cs="宋体"/>
          <w:color w:val="auto"/>
          <w:kern w:val="2"/>
          <w:sz w:val="21"/>
          <w:szCs w:val="21"/>
          <w:highlight w:val="none"/>
          <w:lang w:val="en-US" w:eastAsia="zh-CN"/>
        </w:rPr>
        <w:t>价</w:t>
      </w:r>
      <w:r>
        <w:rPr>
          <w:rFonts w:hint="eastAsia" w:ascii="宋体" w:hAnsi="宋体" w:eastAsia="宋体" w:cs="宋体"/>
          <w:color w:val="auto"/>
          <w:kern w:val="2"/>
          <w:sz w:val="21"/>
          <w:szCs w:val="21"/>
          <w:highlight w:val="none"/>
        </w:rPr>
        <w:t>暂定为</w:t>
      </w:r>
      <w:r>
        <w:rPr>
          <w:rFonts w:hint="eastAsia" w:ascii="宋体" w:hAnsi="宋体" w:cs="宋体"/>
          <w:color w:val="auto"/>
          <w:kern w:val="2"/>
          <w:sz w:val="21"/>
          <w:szCs w:val="21"/>
          <w:highlight w:val="none"/>
          <w:lang w:val="en-US" w:eastAsia="zh-CN"/>
        </w:rPr>
        <w:t>378</w:t>
      </w:r>
      <w:r>
        <w:rPr>
          <w:rFonts w:hint="eastAsia" w:ascii="宋体" w:hAnsi="宋体" w:eastAsia="宋体" w:cs="宋体"/>
          <w:color w:val="auto"/>
          <w:kern w:val="2"/>
          <w:sz w:val="21"/>
          <w:szCs w:val="21"/>
          <w:highlight w:val="none"/>
        </w:rPr>
        <w:t>万</w:t>
      </w:r>
      <w:r>
        <w:rPr>
          <w:rFonts w:hint="eastAsia" w:ascii="宋体" w:hAnsi="宋体" w:cs="宋体"/>
          <w:color w:val="auto"/>
          <w:kern w:val="2"/>
          <w:sz w:val="21"/>
          <w:szCs w:val="21"/>
          <w:highlight w:val="none"/>
          <w:lang w:val="en-US" w:eastAsia="zh-CN"/>
        </w:rPr>
        <w:t>元以内（仅作参考）</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具体</w:t>
      </w:r>
      <w:r>
        <w:rPr>
          <w:rFonts w:hint="eastAsia" w:ascii="宋体" w:hAnsi="宋体" w:eastAsia="宋体" w:cs="宋体"/>
          <w:color w:val="auto"/>
          <w:kern w:val="2"/>
          <w:sz w:val="21"/>
          <w:szCs w:val="21"/>
          <w:highlight w:val="none"/>
        </w:rPr>
        <w:t>以甲方与消纳场</w:t>
      </w:r>
      <w:r>
        <w:rPr>
          <w:rFonts w:hint="eastAsia" w:ascii="宋体" w:hAnsi="宋体" w:eastAsia="宋体" w:cs="宋体"/>
          <w:color w:val="auto"/>
          <w:kern w:val="2"/>
          <w:sz w:val="21"/>
          <w:szCs w:val="21"/>
          <w:highlight w:val="none"/>
          <w:lang w:val="en-US" w:eastAsia="zh-CN"/>
        </w:rPr>
        <w:t>结算</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工作</w:t>
      </w:r>
      <w:r>
        <w:rPr>
          <w:rFonts w:hint="eastAsia" w:ascii="宋体" w:hAnsi="宋体" w:eastAsia="宋体" w:cs="宋体"/>
          <w:color w:val="auto"/>
          <w:kern w:val="2"/>
          <w:sz w:val="21"/>
          <w:szCs w:val="21"/>
          <w:highlight w:val="none"/>
        </w:rPr>
        <w:t>量作为依据</w:t>
      </w:r>
      <w:r>
        <w:rPr>
          <w:rFonts w:hint="eastAsia" w:ascii="宋体" w:hAnsi="宋体" w:eastAsia="宋体" w:cs="宋体"/>
          <w:color w:val="auto"/>
          <w:sz w:val="21"/>
          <w:szCs w:val="21"/>
          <w:highlight w:val="none"/>
        </w:rPr>
        <w:t>。</w:t>
      </w:r>
    </w:p>
    <w:p w14:paraId="7C0873FF">
      <w:pPr>
        <w:keepNext w:val="0"/>
        <w:keepLines w:val="0"/>
        <w:pageBreakBefore w:val="0"/>
        <w:numPr>
          <w:ilvl w:val="0"/>
          <w:numId w:val="0"/>
        </w:numPr>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p w14:paraId="1B6F96BF">
      <w:pPr>
        <w:keepNext w:val="0"/>
        <w:keepLines w:val="0"/>
        <w:pageBreakBefore w:val="0"/>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lang w:val="en-US" w:eastAsia="zh-CN"/>
        </w:rPr>
        <w:t>温州交运集团工程运输有限公司温州市温州湾新区瓯飞消纳场分项外包项目</w:t>
      </w:r>
      <w:r>
        <w:rPr>
          <w:rFonts w:hint="eastAsia" w:ascii="宋体" w:hAnsi="宋体" w:eastAsia="宋体" w:cs="宋体"/>
          <w:color w:val="auto"/>
          <w:sz w:val="21"/>
          <w:szCs w:val="21"/>
          <w:highlight w:val="none"/>
        </w:rPr>
        <w:t>范围内土方工程，包括消纳场便道规划、铺设、修整，卸土、平整、指挥、管理等，具体详见合同</w:t>
      </w:r>
      <w:r>
        <w:rPr>
          <w:rFonts w:hint="eastAsia" w:ascii="宋体" w:hAnsi="宋体" w:cs="宋体"/>
          <w:color w:val="auto"/>
          <w:sz w:val="21"/>
          <w:szCs w:val="21"/>
          <w:highlight w:val="none"/>
          <w:lang w:eastAsia="zh-CN"/>
        </w:rPr>
        <w:t>。</w:t>
      </w:r>
    </w:p>
    <w:p w14:paraId="5D14E8AC">
      <w:pPr>
        <w:keepNext w:val="0"/>
        <w:keepLines w:val="0"/>
        <w:pageBreakBefore w:val="0"/>
        <w:numPr>
          <w:ilvl w:val="0"/>
          <w:numId w:val="0"/>
        </w:numPr>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rPr>
        <w:t>工期：</w:t>
      </w:r>
    </w:p>
    <w:p w14:paraId="2CF66B00">
      <w:pPr>
        <w:spacing w:beforeLines="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暂定为</w:t>
      </w:r>
      <w:r>
        <w:rPr>
          <w:rFonts w:hint="eastAsia" w:ascii="宋体" w:hAnsi="宋体" w:eastAsia="宋体" w:cs="宋体"/>
          <w:color w:val="auto"/>
          <w:kern w:val="2"/>
          <w:sz w:val="21"/>
          <w:szCs w:val="21"/>
          <w:highlight w:val="none"/>
          <w:lang w:val="en-US" w:eastAsia="zh-CN"/>
        </w:rPr>
        <w:t>2026年1月1日至2026年12月31日</w:t>
      </w:r>
      <w:r>
        <w:rPr>
          <w:rFonts w:hint="eastAsia" w:ascii="宋体" w:hAnsi="宋体" w:cs="宋体"/>
          <w:color w:val="auto"/>
          <w:kern w:val="2"/>
          <w:sz w:val="21"/>
          <w:szCs w:val="21"/>
          <w:highlight w:val="none"/>
          <w:lang w:val="en-US" w:eastAsia="zh-CN"/>
        </w:rPr>
        <w:t>，本合同施工期在达到工程总价或工期到期时终止</w:t>
      </w:r>
      <w:r>
        <w:rPr>
          <w:rFonts w:hint="eastAsia" w:ascii="宋体" w:hAnsi="宋体" w:eastAsia="宋体" w:cs="宋体"/>
          <w:color w:val="auto"/>
          <w:kern w:val="2"/>
          <w:sz w:val="21"/>
          <w:szCs w:val="21"/>
          <w:highlight w:val="none"/>
        </w:rPr>
        <w:t>。</w:t>
      </w:r>
    </w:p>
    <w:p w14:paraId="59E65C76">
      <w:pPr>
        <w:numPr>
          <w:ilvl w:val="0"/>
          <w:numId w:val="0"/>
        </w:numPr>
        <w:spacing w:before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rPr>
        <w:t>采购承包</w:t>
      </w:r>
      <w:r>
        <w:rPr>
          <w:rFonts w:hint="eastAsia" w:ascii="宋体" w:hAnsi="宋体" w:eastAsia="宋体" w:cs="宋体"/>
          <w:color w:val="auto"/>
          <w:kern w:val="2"/>
          <w:sz w:val="21"/>
          <w:szCs w:val="21"/>
          <w:highlight w:val="none"/>
        </w:rPr>
        <w:t>内容：</w:t>
      </w:r>
    </w:p>
    <w:p w14:paraId="4DEF9ECE">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根据相关施工方案进行施工，具体内容包括：</w:t>
      </w:r>
    </w:p>
    <w:p w14:paraId="39AE9D05">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1、项目所需的挖掘机、推土机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钢板</w:t>
      </w:r>
      <w:r>
        <w:rPr>
          <w:rFonts w:hint="eastAsia" w:ascii="宋体" w:hAnsi="宋体" w:eastAsia="宋体" w:cs="宋体"/>
          <w:color w:val="auto"/>
          <w:sz w:val="21"/>
          <w:szCs w:val="21"/>
          <w:highlight w:val="none"/>
        </w:rPr>
        <w:t>等均委托</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负责。</w:t>
      </w:r>
    </w:p>
    <w:p w14:paraId="520F75DF">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2、使用挖机等设备（含操作员）进行卸土和平整等所有后场工程，配备</w:t>
      </w:r>
      <w:r>
        <w:rPr>
          <w:rFonts w:hint="eastAsia" w:ascii="宋体" w:hAnsi="宋体" w:eastAsia="宋体" w:cs="宋体"/>
          <w:color w:val="auto"/>
          <w:sz w:val="21"/>
          <w:szCs w:val="21"/>
          <w:highlight w:val="none"/>
          <w:lang w:val="en-US" w:eastAsia="zh-CN"/>
        </w:rPr>
        <w:t>数量</w:t>
      </w:r>
      <w:r>
        <w:rPr>
          <w:rFonts w:hint="eastAsia" w:ascii="宋体" w:hAnsi="宋体" w:eastAsia="宋体" w:cs="宋体"/>
          <w:color w:val="auto"/>
          <w:sz w:val="21"/>
          <w:szCs w:val="21"/>
          <w:highlight w:val="none"/>
        </w:rPr>
        <w:t>足够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型号符合要求</w:t>
      </w:r>
      <w:r>
        <w:rPr>
          <w:rFonts w:hint="eastAsia" w:ascii="宋体" w:hAnsi="宋体" w:eastAsia="宋体" w:cs="宋体"/>
          <w:color w:val="auto"/>
          <w:sz w:val="21"/>
          <w:szCs w:val="21"/>
          <w:highlight w:val="none"/>
        </w:rPr>
        <w:t>的挖机</w:t>
      </w:r>
      <w:r>
        <w:rPr>
          <w:rFonts w:hint="eastAsia" w:ascii="宋体" w:hAnsi="宋体" w:eastAsia="宋体" w:cs="宋体"/>
          <w:color w:val="auto"/>
          <w:sz w:val="21"/>
          <w:szCs w:val="21"/>
          <w:highlight w:val="none"/>
          <w:lang w:val="en-US" w:eastAsia="zh-CN"/>
        </w:rPr>
        <w:t>以及钢板等设备、器材，</w:t>
      </w:r>
      <w:r>
        <w:rPr>
          <w:rFonts w:hint="eastAsia" w:ascii="宋体" w:hAnsi="宋体" w:eastAsia="宋体" w:cs="宋体"/>
          <w:color w:val="auto"/>
          <w:sz w:val="21"/>
          <w:szCs w:val="21"/>
          <w:highlight w:val="none"/>
        </w:rPr>
        <w:t>根据甲方要求及作业进程需要配给。</w:t>
      </w:r>
    </w:p>
    <w:p w14:paraId="49F935C1">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通知后设备需24小时内到位，作业过程中出现设备故障的</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应及时修复，如在六小时内未能修复的应重新调换挖机，</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要求安排挖机驾驶员上下班时间，不得迟到及早退。</w:t>
      </w:r>
    </w:p>
    <w:p w14:paraId="70501B34">
      <w:pPr>
        <w:numPr>
          <w:ilvl w:val="0"/>
          <w:numId w:val="0"/>
        </w:numPr>
        <w:spacing w:before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rPr>
        <w:t>承包范围：</w:t>
      </w:r>
    </w:p>
    <w:p w14:paraId="0996E0E6">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val="en-US" w:eastAsia="zh-CN"/>
        </w:rPr>
        <w:t>分项工程</w:t>
      </w:r>
      <w:r>
        <w:rPr>
          <w:rFonts w:hint="eastAsia" w:ascii="宋体" w:hAnsi="宋体" w:eastAsia="宋体" w:cs="宋体"/>
          <w:color w:val="auto"/>
          <w:sz w:val="21"/>
          <w:szCs w:val="21"/>
          <w:highlight w:val="none"/>
        </w:rPr>
        <w:t>所需的工具，包括卸土、平整等所有后场事项工作，保证工作顺利进行。</w:t>
      </w:r>
    </w:p>
    <w:p w14:paraId="0767264A">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2、负责分项工程范围内所有便道铺设或维护工作。</w:t>
      </w:r>
    </w:p>
    <w:p w14:paraId="3E9DC28C">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3、根据消纳场平整工作需要进行运输便道的修建以及矿渣、砖渣等材料的采购</w:t>
      </w:r>
      <w:r>
        <w:rPr>
          <w:rFonts w:hint="eastAsia" w:ascii="宋体" w:hAnsi="宋体" w:cs="宋体"/>
          <w:color w:val="auto"/>
          <w:sz w:val="21"/>
          <w:szCs w:val="21"/>
          <w:highlight w:val="none"/>
          <w:lang w:val="en-US" w:eastAsia="zh-CN"/>
        </w:rPr>
        <w:t>和平整</w:t>
      </w:r>
      <w:r>
        <w:rPr>
          <w:rFonts w:hint="eastAsia" w:ascii="宋体" w:hAnsi="宋体" w:eastAsia="宋体" w:cs="宋体"/>
          <w:color w:val="auto"/>
          <w:sz w:val="21"/>
          <w:szCs w:val="21"/>
          <w:highlight w:val="none"/>
          <w:lang w:val="en-US" w:eastAsia="zh-CN"/>
        </w:rPr>
        <w:t>。</w:t>
      </w:r>
    </w:p>
    <w:p w14:paraId="4F01ECED">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、如甲方出现车辆超吨的情况，致使甲方车辆无法进入消纳场生产作业，乙方需提供相关的设备及</w:t>
      </w:r>
      <w:r>
        <w:rPr>
          <w:rFonts w:hint="eastAsia" w:ascii="宋体" w:hAnsi="宋体" w:cs="宋体"/>
          <w:color w:val="auto"/>
          <w:sz w:val="21"/>
          <w:szCs w:val="21"/>
          <w:highlight w:val="none"/>
          <w:lang w:val="en-US" w:eastAsia="zh-CN"/>
        </w:rPr>
        <w:t>人员</w:t>
      </w:r>
      <w:r>
        <w:rPr>
          <w:rFonts w:hint="eastAsia" w:ascii="宋体" w:hAnsi="宋体" w:eastAsia="宋体" w:cs="宋体"/>
          <w:color w:val="auto"/>
          <w:sz w:val="21"/>
          <w:szCs w:val="21"/>
          <w:highlight w:val="none"/>
        </w:rPr>
        <w:t>配合</w:t>
      </w:r>
      <w:r>
        <w:rPr>
          <w:rFonts w:hint="eastAsia" w:ascii="宋体" w:hAnsi="宋体" w:cs="宋体"/>
          <w:color w:val="auto"/>
          <w:sz w:val="21"/>
          <w:szCs w:val="21"/>
          <w:highlight w:val="none"/>
          <w:lang w:val="en-US" w:eastAsia="zh-CN"/>
        </w:rPr>
        <w:t>整改</w:t>
      </w:r>
      <w:r>
        <w:rPr>
          <w:rFonts w:hint="eastAsia" w:ascii="宋体" w:hAnsi="宋体" w:eastAsia="宋体" w:cs="宋体"/>
          <w:color w:val="auto"/>
          <w:sz w:val="21"/>
          <w:szCs w:val="21"/>
          <w:highlight w:val="none"/>
        </w:rPr>
        <w:t>。</w:t>
      </w:r>
    </w:p>
    <w:p w14:paraId="071CB695">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val="en-US" w:eastAsia="zh-CN"/>
        </w:rPr>
        <w:t>挖机等</w:t>
      </w:r>
      <w:r>
        <w:rPr>
          <w:rFonts w:hint="eastAsia" w:ascii="宋体" w:hAnsi="宋体" w:eastAsia="宋体" w:cs="宋体"/>
          <w:color w:val="auto"/>
          <w:sz w:val="21"/>
          <w:szCs w:val="21"/>
          <w:highlight w:val="none"/>
        </w:rPr>
        <w:t>设备的使用费、进出场费，所有有关该分项工程所需的路政、交通、环卫等外部与政府职能部门相关的全部手续、罚款、缴费等责任均由</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自行负责完成和承担。必须遵照政府部门相关规定，否则一切责任由</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 w:val="21"/>
          <w:szCs w:val="21"/>
          <w:highlight w:val="none"/>
        </w:rPr>
        <w:t>承担。</w:t>
      </w:r>
    </w:p>
    <w:p w14:paraId="62D6A080">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6、完成甲方提出的，为完成本项目工作内容的其他合理要求。包括但不限于提供设施设备用于修建便道、砖渣及表土的短驳运输、钢板整理、钢板搬运、道路维护修缮等。</w:t>
      </w:r>
    </w:p>
    <w:p w14:paraId="0BD2C8BE">
      <w:pPr>
        <w:numPr>
          <w:ilvl w:val="0"/>
          <w:numId w:val="0"/>
        </w:numPr>
        <w:spacing w:before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rPr>
        <w:t>价格</w:t>
      </w:r>
      <w:r>
        <w:rPr>
          <w:rFonts w:hint="eastAsia" w:ascii="宋体" w:hAnsi="宋体" w:eastAsia="宋体" w:cs="宋体"/>
          <w:color w:val="auto"/>
          <w:kern w:val="2"/>
          <w:sz w:val="21"/>
          <w:szCs w:val="21"/>
          <w:highlight w:val="none"/>
        </w:rPr>
        <w:t>：</w:t>
      </w:r>
    </w:p>
    <w:p w14:paraId="611AA931">
      <w:pPr>
        <w:pStyle w:val="82"/>
        <w:keepNext w:val="0"/>
        <w:keepLines w:val="0"/>
        <w:pageBreakBefore w:val="0"/>
        <w:tabs>
          <w:tab w:val="left" w:pos="7278"/>
        </w:tabs>
        <w:kinsoku/>
        <w:wordWrap/>
        <w:overflowPunct/>
        <w:topLinePunct w:val="0"/>
        <w:autoSpaceDE/>
        <w:autoSpaceDN/>
        <w:bidi w:val="0"/>
        <w:adjustRightIn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工程总</w:t>
      </w:r>
      <w:r>
        <w:rPr>
          <w:rFonts w:hint="eastAsia" w:ascii="宋体" w:hAnsi="宋体" w:cs="宋体"/>
          <w:color w:val="auto"/>
          <w:kern w:val="2"/>
          <w:sz w:val="21"/>
          <w:szCs w:val="21"/>
          <w:highlight w:val="none"/>
          <w:lang w:val="en-US" w:eastAsia="zh-CN"/>
        </w:rPr>
        <w:t>价</w:t>
      </w:r>
      <w:r>
        <w:rPr>
          <w:rFonts w:hint="eastAsia" w:ascii="宋体" w:hAnsi="宋体" w:eastAsia="宋体" w:cs="宋体"/>
          <w:color w:val="auto"/>
          <w:kern w:val="2"/>
          <w:sz w:val="21"/>
          <w:szCs w:val="21"/>
          <w:highlight w:val="none"/>
        </w:rPr>
        <w:t>暂定为</w:t>
      </w:r>
      <w:r>
        <w:rPr>
          <w:rFonts w:hint="eastAsia" w:ascii="宋体" w:hAnsi="宋体" w:cs="宋体"/>
          <w:color w:val="auto"/>
          <w:kern w:val="2"/>
          <w:sz w:val="21"/>
          <w:szCs w:val="21"/>
          <w:highlight w:val="none"/>
          <w:lang w:val="en-US" w:eastAsia="zh-CN"/>
        </w:rPr>
        <w:t>378</w:t>
      </w:r>
      <w:r>
        <w:rPr>
          <w:rFonts w:hint="eastAsia" w:ascii="宋体" w:hAnsi="宋体" w:eastAsia="宋体" w:cs="宋体"/>
          <w:color w:val="auto"/>
          <w:kern w:val="2"/>
          <w:sz w:val="21"/>
          <w:szCs w:val="21"/>
          <w:highlight w:val="none"/>
        </w:rPr>
        <w:t>万</w:t>
      </w:r>
      <w:r>
        <w:rPr>
          <w:rFonts w:hint="eastAsia" w:ascii="宋体" w:hAnsi="宋体" w:cs="宋体"/>
          <w:color w:val="auto"/>
          <w:kern w:val="2"/>
          <w:sz w:val="21"/>
          <w:szCs w:val="21"/>
          <w:highlight w:val="none"/>
          <w:lang w:val="en-US" w:eastAsia="zh-CN"/>
        </w:rPr>
        <w:t>元以内</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具体</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与消纳场</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量作为依据，承包全费用</w:t>
      </w:r>
      <w:r>
        <w:rPr>
          <w:rFonts w:hint="eastAsia" w:ascii="宋体" w:hAnsi="宋体" w:eastAsia="宋体" w:cs="宋体"/>
          <w:b/>
          <w:bCs/>
          <w:color w:val="auto"/>
          <w:sz w:val="21"/>
          <w:szCs w:val="21"/>
          <w:highlight w:val="none"/>
          <w:lang w:val="en-US" w:eastAsia="zh-CN"/>
        </w:rPr>
        <w:t>最高</w:t>
      </w:r>
      <w:r>
        <w:rPr>
          <w:rFonts w:hint="eastAsia" w:ascii="宋体" w:hAnsi="宋体" w:eastAsia="宋体" w:cs="宋体"/>
          <w:b/>
          <w:bCs/>
          <w:color w:val="auto"/>
          <w:sz w:val="21"/>
          <w:szCs w:val="21"/>
          <w:highlight w:val="none"/>
        </w:rPr>
        <w:t>综合单价</w:t>
      </w:r>
      <w:r>
        <w:rPr>
          <w:rFonts w:hint="eastAsia" w:ascii="宋体" w:hAnsi="宋体" w:eastAsia="宋体" w:cs="宋体"/>
          <w:b/>
          <w:bCs/>
          <w:color w:val="auto"/>
          <w:sz w:val="21"/>
          <w:szCs w:val="21"/>
          <w:highlight w:val="none"/>
          <w:lang w:val="en-US" w:eastAsia="zh-CN"/>
        </w:rPr>
        <w:t>限价</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lang w:val="en-US" w:eastAsia="zh-CN"/>
        </w:rPr>
        <w:t>2.10元/吨</w:t>
      </w:r>
      <w:r>
        <w:rPr>
          <w:rFonts w:hint="eastAsia" w:ascii="宋体" w:hAnsi="宋体" w:eastAsia="宋体" w:cs="宋体"/>
          <w:color w:val="auto"/>
          <w:sz w:val="21"/>
          <w:szCs w:val="21"/>
          <w:highlight w:val="none"/>
        </w:rPr>
        <w:t>（含税），结算时按土方消纳单位结算工程量计算（含增值税专票）。</w:t>
      </w:r>
    </w:p>
    <w:p w14:paraId="343ECE23">
      <w:pPr>
        <w:keepNext w:val="0"/>
        <w:keepLines w:val="0"/>
        <w:pageBreakBefore w:val="0"/>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七、</w:t>
      </w:r>
      <w:r>
        <w:rPr>
          <w:rFonts w:ascii="Arial" w:hAnsi="宋体" w:cs="Arial"/>
          <w:bCs/>
          <w:snapToGrid w:val="0"/>
          <w:color w:val="auto"/>
          <w:kern w:val="0"/>
          <w:szCs w:val="21"/>
          <w:highlight w:val="none"/>
          <w:u w:val="single"/>
        </w:rPr>
        <w:t>服务期限</w:t>
      </w:r>
      <w:r>
        <w:rPr>
          <w:rFonts w:hint="eastAsia" w:ascii="宋体" w:hAnsi="宋体" w:eastAsia="宋体" w:cs="宋体"/>
          <w:color w:val="auto"/>
          <w:szCs w:val="21"/>
          <w:highlight w:val="none"/>
        </w:rPr>
        <w:t>：</w:t>
      </w:r>
    </w:p>
    <w:p w14:paraId="253BE626">
      <w:pPr>
        <w:keepNext w:val="0"/>
        <w:keepLines w:val="0"/>
        <w:pageBreakBefore w:val="0"/>
        <w:kinsoku/>
        <w:wordWrap/>
        <w:overflowPunct/>
        <w:topLinePunct w:val="0"/>
        <w:autoSpaceDE/>
        <w:autoSpaceDN/>
        <w:bidi w:val="0"/>
        <w:adjustRightInd/>
        <w:spacing w:beforeLines="0" w:line="360" w:lineRule="auto"/>
        <w:ind w:firstLine="420" w:firstLineChars="200"/>
        <w:textAlignment w:val="auto"/>
        <w:rPr>
          <w:rFonts w:hint="eastAsia" w:ascii="宋体" w:hAnsi="宋体" w:eastAsia="宋体" w:cs="宋体"/>
          <w:color w:val="auto"/>
          <w:szCs w:val="21"/>
          <w:highlight w:val="none"/>
        </w:rPr>
      </w:pPr>
      <w:r>
        <w:rPr>
          <w:rFonts w:ascii="Arial" w:hAnsi="宋体" w:cs="Arial"/>
          <w:bCs/>
          <w:snapToGrid w:val="0"/>
          <w:color w:val="auto"/>
          <w:kern w:val="0"/>
          <w:szCs w:val="21"/>
          <w:highlight w:val="none"/>
          <w:u w:val="single"/>
        </w:rPr>
        <w:t>服务期限</w:t>
      </w:r>
      <w:r>
        <w:rPr>
          <w:rFonts w:hint="eastAsia" w:ascii="宋体" w:hAnsi="宋体" w:eastAsia="宋体" w:cs="宋体"/>
          <w:color w:val="auto"/>
          <w:szCs w:val="21"/>
          <w:highlight w:val="none"/>
          <w:u w:val="single"/>
        </w:rPr>
        <w:t>为2026年1月1日至2026年12月31日</w:t>
      </w:r>
      <w:r>
        <w:rPr>
          <w:rFonts w:hint="eastAsia" w:ascii="宋体" w:hAnsi="宋体" w:cs="宋体"/>
          <w:color w:val="auto"/>
          <w:szCs w:val="21"/>
          <w:highlight w:val="none"/>
          <w:u w:val="single"/>
          <w:lang w:val="en-US" w:eastAsia="zh-CN"/>
        </w:rPr>
        <w:t>止，具体开工时间以</w:t>
      </w:r>
      <w:r>
        <w:rPr>
          <w:rFonts w:hint="eastAsia" w:ascii="宋体" w:hAnsi="宋体" w:eastAsia="宋体" w:cs="宋体"/>
          <w:color w:val="auto"/>
          <w:sz w:val="21"/>
          <w:szCs w:val="21"/>
          <w:highlight w:val="none"/>
          <w:u w:val="single"/>
          <w:lang w:val="en-US" w:eastAsia="zh-CN"/>
        </w:rPr>
        <w:t>采购人</w:t>
      </w:r>
      <w:r>
        <w:rPr>
          <w:rFonts w:hint="eastAsia" w:ascii="宋体" w:hAnsi="宋体" w:cs="宋体"/>
          <w:color w:val="auto"/>
          <w:szCs w:val="21"/>
          <w:highlight w:val="none"/>
          <w:u w:val="single"/>
          <w:lang w:val="en-US" w:eastAsia="zh-CN"/>
        </w:rPr>
        <w:t>通知为准</w:t>
      </w:r>
      <w:r>
        <w:rPr>
          <w:rFonts w:hint="eastAsia" w:ascii="宋体" w:hAnsi="宋体" w:eastAsia="宋体" w:cs="宋体"/>
          <w:color w:val="auto"/>
          <w:szCs w:val="21"/>
          <w:highlight w:val="none"/>
        </w:rPr>
        <w:t>，因台风、大暴雨、消纳场管制或</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rPr>
        <w:t>原因造成工期延误的，以现场签证为准，工期给予顺延，费用不予增加；如发生重大事件，</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rPr>
        <w:t>有权单方中止合同。</w:t>
      </w:r>
      <w:r>
        <w:rPr>
          <w:rFonts w:ascii="Arial" w:hAnsi="宋体" w:cs="Arial"/>
          <w:bCs/>
          <w:snapToGrid w:val="0"/>
          <w:color w:val="auto"/>
          <w:kern w:val="0"/>
          <w:szCs w:val="21"/>
          <w:highlight w:val="none"/>
          <w:u w:val="single"/>
        </w:rPr>
        <w:t>本次服务期限为合同签订之日起一年，采用</w:t>
      </w:r>
      <w:r>
        <w:rPr>
          <w:rFonts w:ascii="Arial" w:hAnsi="Arial" w:cs="Arial"/>
          <w:bCs/>
          <w:snapToGrid w:val="0"/>
          <w:color w:val="auto"/>
          <w:kern w:val="0"/>
          <w:szCs w:val="21"/>
          <w:highlight w:val="none"/>
          <w:u w:val="single"/>
        </w:rPr>
        <w:t>1+1</w:t>
      </w:r>
      <w:r>
        <w:rPr>
          <w:rFonts w:ascii="Arial" w:hAnsi="宋体" w:cs="Arial"/>
          <w:bCs/>
          <w:snapToGrid w:val="0"/>
          <w:color w:val="auto"/>
          <w:kern w:val="0"/>
          <w:szCs w:val="21"/>
          <w:highlight w:val="none"/>
          <w:u w:val="single"/>
        </w:rPr>
        <w:t>模式签订合同，如当年</w:t>
      </w:r>
      <w:r>
        <w:rPr>
          <w:rFonts w:hint="eastAsia" w:ascii="Arial" w:hAnsi="宋体" w:cs="Arial"/>
          <w:bCs/>
          <w:snapToGrid w:val="0"/>
          <w:color w:val="auto"/>
          <w:kern w:val="0"/>
          <w:szCs w:val="21"/>
          <w:highlight w:val="none"/>
          <w:u w:val="single"/>
          <w:lang w:val="en-US" w:eastAsia="zh-CN"/>
        </w:rPr>
        <w:t>供应商</w:t>
      </w:r>
      <w:r>
        <w:rPr>
          <w:rFonts w:ascii="Arial" w:hAnsi="宋体" w:cs="Arial"/>
          <w:bCs/>
          <w:snapToGrid w:val="0"/>
          <w:color w:val="auto"/>
          <w:kern w:val="0"/>
          <w:szCs w:val="21"/>
          <w:highlight w:val="none"/>
          <w:u w:val="single"/>
        </w:rPr>
        <w:t>按约定时限完成任务，质量达到良好以上（含良好，以</w:t>
      </w:r>
      <w:r>
        <w:rPr>
          <w:rFonts w:hint="eastAsia" w:ascii="Arial" w:hAnsi="宋体" w:cs="Arial"/>
          <w:bCs/>
          <w:snapToGrid w:val="0"/>
          <w:color w:val="auto"/>
          <w:kern w:val="0"/>
          <w:szCs w:val="21"/>
          <w:highlight w:val="none"/>
          <w:u w:val="single"/>
          <w:lang w:val="en-US" w:eastAsia="zh-CN"/>
        </w:rPr>
        <w:t>采购人</w:t>
      </w:r>
      <w:r>
        <w:rPr>
          <w:rFonts w:ascii="Arial" w:hAnsi="宋体" w:cs="Arial"/>
          <w:bCs/>
          <w:snapToGrid w:val="0"/>
          <w:color w:val="auto"/>
          <w:kern w:val="0"/>
          <w:szCs w:val="21"/>
          <w:highlight w:val="none"/>
          <w:u w:val="single"/>
        </w:rPr>
        <w:t>的评价结果为准），且次年计价基础没有发生重大变化，</w:t>
      </w:r>
      <w:r>
        <w:rPr>
          <w:rFonts w:hint="eastAsia" w:ascii="Arial" w:hAnsi="宋体" w:cs="Arial"/>
          <w:bCs/>
          <w:snapToGrid w:val="0"/>
          <w:color w:val="auto"/>
          <w:kern w:val="0"/>
          <w:szCs w:val="21"/>
          <w:highlight w:val="none"/>
          <w:u w:val="single"/>
          <w:lang w:val="en-US" w:eastAsia="zh-CN"/>
        </w:rPr>
        <w:t>且在相同合同条款下</w:t>
      </w:r>
      <w:r>
        <w:rPr>
          <w:rFonts w:ascii="Arial" w:hAnsi="宋体" w:cs="Arial"/>
          <w:bCs/>
          <w:snapToGrid w:val="0"/>
          <w:color w:val="auto"/>
          <w:kern w:val="0"/>
          <w:szCs w:val="21"/>
          <w:highlight w:val="none"/>
          <w:u w:val="single"/>
        </w:rPr>
        <w:t>，</w:t>
      </w:r>
      <w:r>
        <w:rPr>
          <w:rFonts w:hint="eastAsia" w:ascii="Arial" w:hAnsi="宋体" w:cs="Arial"/>
          <w:bCs/>
          <w:snapToGrid w:val="0"/>
          <w:color w:val="auto"/>
          <w:kern w:val="0"/>
          <w:szCs w:val="21"/>
          <w:highlight w:val="none"/>
          <w:u w:val="single"/>
          <w:lang w:val="en-US" w:eastAsia="zh-CN"/>
        </w:rPr>
        <w:t>经双方协商同意后</w:t>
      </w:r>
      <w:r>
        <w:rPr>
          <w:rFonts w:ascii="Arial" w:hAnsi="宋体" w:cs="Arial"/>
          <w:bCs/>
          <w:snapToGrid w:val="0"/>
          <w:color w:val="auto"/>
          <w:kern w:val="0"/>
          <w:szCs w:val="21"/>
          <w:highlight w:val="none"/>
          <w:u w:val="single"/>
        </w:rPr>
        <w:t>，</w:t>
      </w:r>
      <w:r>
        <w:rPr>
          <w:rFonts w:hint="eastAsia" w:ascii="Arial" w:hAnsi="宋体" w:cs="Arial"/>
          <w:bCs/>
          <w:snapToGrid w:val="0"/>
          <w:color w:val="auto"/>
          <w:kern w:val="0"/>
          <w:szCs w:val="21"/>
          <w:highlight w:val="none"/>
          <w:u w:val="single"/>
          <w:lang w:val="en-US" w:eastAsia="zh-CN"/>
        </w:rPr>
        <w:t>允许再</w:t>
      </w:r>
      <w:r>
        <w:rPr>
          <w:rFonts w:ascii="Arial" w:hAnsi="宋体" w:cs="Arial"/>
          <w:bCs/>
          <w:snapToGrid w:val="0"/>
          <w:color w:val="auto"/>
          <w:kern w:val="0"/>
          <w:szCs w:val="21"/>
          <w:highlight w:val="none"/>
          <w:u w:val="single"/>
        </w:rPr>
        <w:t>签一年合同，直至</w:t>
      </w:r>
      <w:r>
        <w:rPr>
          <w:rFonts w:hint="eastAsia" w:ascii="Arial" w:hAnsi="宋体" w:cs="Arial"/>
          <w:bCs/>
          <w:snapToGrid w:val="0"/>
          <w:color w:val="auto"/>
          <w:kern w:val="0"/>
          <w:szCs w:val="21"/>
          <w:highlight w:val="none"/>
          <w:u w:val="single"/>
          <w:lang w:val="en-US" w:eastAsia="zh-CN"/>
        </w:rPr>
        <w:t>二年</w:t>
      </w:r>
      <w:r>
        <w:rPr>
          <w:rFonts w:ascii="Arial" w:hAnsi="宋体" w:cs="Arial"/>
          <w:bCs/>
          <w:snapToGrid w:val="0"/>
          <w:color w:val="auto"/>
          <w:kern w:val="0"/>
          <w:szCs w:val="21"/>
          <w:highlight w:val="none"/>
          <w:u w:val="single"/>
        </w:rPr>
        <w:t>结束后由</w:t>
      </w:r>
      <w:r>
        <w:rPr>
          <w:rFonts w:hint="eastAsia" w:ascii="Arial" w:hAnsi="宋体" w:cs="Arial"/>
          <w:bCs/>
          <w:snapToGrid w:val="0"/>
          <w:color w:val="auto"/>
          <w:kern w:val="0"/>
          <w:szCs w:val="21"/>
          <w:highlight w:val="none"/>
          <w:u w:val="single"/>
          <w:lang w:val="en-US" w:eastAsia="zh-CN"/>
        </w:rPr>
        <w:t>采购人</w:t>
      </w:r>
      <w:r>
        <w:rPr>
          <w:rFonts w:ascii="Arial" w:hAnsi="宋体" w:cs="Arial"/>
          <w:bCs/>
          <w:snapToGrid w:val="0"/>
          <w:color w:val="auto"/>
          <w:kern w:val="0"/>
          <w:szCs w:val="21"/>
          <w:highlight w:val="none"/>
          <w:u w:val="single"/>
        </w:rPr>
        <w:t>重新开展招标。</w:t>
      </w:r>
    </w:p>
    <w:p w14:paraId="6413FEC4">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、付款方式：</w:t>
      </w:r>
    </w:p>
    <w:p w14:paraId="11019218">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1、以每月1日至当月最后一日为开票的量作为结算依据，</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rPr>
        <w:t>提供税率为税率9%增值税发票，</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rPr>
        <w:t>在次月15日之前结算项目进度款，完工余款、变更款项结算，须等消纳单位完工结算付款后再发起，工程总量以消纳单位结算量为准。</w:t>
      </w:r>
    </w:p>
    <w:p w14:paraId="61DF0C4E">
      <w:pPr>
        <w:keepNext w:val="0"/>
        <w:keepLines w:val="0"/>
        <w:pageBreakBefore w:val="0"/>
        <w:shd w:val="clear" w:color="auto" w:fill="FFFFFF"/>
        <w:kinsoku/>
        <w:wordWrap/>
        <w:overflowPunct/>
        <w:topLinePunct w:val="0"/>
        <w:autoSpaceDE/>
        <w:autoSpaceDN/>
        <w:bidi w:val="0"/>
        <w:adjustRightInd/>
        <w:spacing w:before="0" w:beforeLines="0"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、本合同所涉应税行为计税方法</w:t>
      </w:r>
      <w:r>
        <w:rPr>
          <w:rFonts w:hint="eastAsia" w:ascii="宋体" w:hAnsi="宋体" w:eastAsia="宋体" w:cs="宋体"/>
          <w:color w:val="auto"/>
          <w:szCs w:val="21"/>
          <w:highlight w:val="none"/>
          <w:lang w:val="en-US" w:eastAsia="zh-CN"/>
        </w:rPr>
        <w:t>采用</w:t>
      </w:r>
      <w:r>
        <w:rPr>
          <w:rFonts w:hint="eastAsia" w:ascii="宋体" w:hAnsi="宋体" w:eastAsia="宋体" w:cs="宋体"/>
          <w:color w:val="auto"/>
          <w:szCs w:val="21"/>
          <w:highlight w:val="none"/>
        </w:rPr>
        <w:t>一般计税方法</w:t>
      </w:r>
    </w:p>
    <w:p w14:paraId="4EA092E2">
      <w:pPr>
        <w:keepNext w:val="0"/>
        <w:keepLines w:val="0"/>
        <w:pageBreakBefore w:val="0"/>
        <w:shd w:val="clear" w:color="auto" w:fill="FFFFFF"/>
        <w:kinsoku/>
        <w:wordWrap/>
        <w:overflowPunct/>
        <w:topLinePunct w:val="0"/>
        <w:autoSpaceDE/>
        <w:autoSpaceDN/>
        <w:bidi w:val="0"/>
        <w:adjustRightInd/>
        <w:snapToGrid/>
        <w:spacing w:before="0" w:beforeLines="0" w:after="0"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rPr>
        <w:t>在向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rPr>
        <w:t>请款时，应根据甲方确认的付款数额开具合法、有效、完整、准确的增值税</w:t>
      </w:r>
      <w:r>
        <w:rPr>
          <w:rFonts w:hint="eastAsia" w:ascii="宋体" w:hAnsi="宋体" w:eastAsia="宋体" w:cs="宋体"/>
          <w:color w:val="auto"/>
          <w:szCs w:val="21"/>
          <w:highlight w:val="none"/>
          <w:lang w:val="en-US" w:eastAsia="zh-CN"/>
        </w:rPr>
        <w:t>专用发票</w:t>
      </w:r>
      <w:r>
        <w:rPr>
          <w:rFonts w:hint="eastAsia" w:ascii="宋体" w:hAnsi="宋体" w:eastAsia="宋体" w:cs="宋体"/>
          <w:color w:val="auto"/>
          <w:szCs w:val="21"/>
          <w:highlight w:val="none"/>
        </w:rPr>
        <w:t>（税率9%）</w:t>
      </w:r>
    </w:p>
    <w:p w14:paraId="75B8509E">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、工程履约金：</w:t>
      </w:r>
    </w:p>
    <w:p w14:paraId="0867DB1B">
      <w:pPr>
        <w:keepNext w:val="0"/>
        <w:keepLines w:val="0"/>
        <w:pageBreakBefore w:val="0"/>
        <w:kinsoku/>
        <w:wordWrap/>
        <w:overflowPunct/>
        <w:topLinePunct w:val="0"/>
        <w:autoSpaceDE/>
        <w:autoSpaceDN/>
        <w:bidi w:val="0"/>
        <w:adjustRightInd/>
        <w:spacing w:beforeLines="0" w:line="360" w:lineRule="auto"/>
        <w:ind w:left="0" w:lef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本工程质量、安全、进度履约金共计</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万元，在扣除有关处罚罚款后，完成后次月月底前一次性退</w:t>
      </w:r>
      <w:r>
        <w:rPr>
          <w:rFonts w:hint="eastAsia" w:ascii="宋体" w:hAnsi="宋体" w:eastAsia="宋体" w:cs="宋体"/>
          <w:color w:val="auto"/>
          <w:szCs w:val="21"/>
          <w:highlight w:val="none"/>
          <w:lang w:eastAsia="zh-CN"/>
        </w:rPr>
        <w:t>。</w:t>
      </w:r>
    </w:p>
    <w:p w14:paraId="682FBDEE">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十、其他约定：</w:t>
      </w:r>
    </w:p>
    <w:p w14:paraId="1FBB297C">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1、安全帽由乙方统一配备，费用由</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rPr>
        <w:t>自己承担，进入施工地必须佩戴。</w:t>
      </w:r>
    </w:p>
    <w:p w14:paraId="3A4E317C">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2、相关车辆必须符合政府有关管理部门要求。</w:t>
      </w:r>
    </w:p>
    <w:p w14:paraId="65F3AB6D">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需要使用砖渣用于主便道铺设及维护的，进场砖渣计入卸土总量之内；卸砖渣用于铺设挖机垫层不增加费用，消纳场内转运干土用于挖机做台子不增加费用。挖机台子使用表层土组织使用为主，场内干土等合理调用为辅，不提倡使用砖渣，</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lang w:val="en-US" w:eastAsia="zh-CN"/>
        </w:rPr>
        <w:t>须合理组织。</w:t>
      </w:r>
    </w:p>
    <w:p w14:paraId="64B35018">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4、进度款按月结付，进度款工程量由甲方计算，完工余款、变更款项结算，须等消纳单位完工结算付款后再发起，工程总量以等消纳单位结算量为准。</w:t>
      </w:r>
    </w:p>
    <w:p w14:paraId="02A0C229">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lang w:val="en-US" w:eastAsia="zh-CN"/>
        </w:rPr>
        <w:t>派驻场内的管理人员1-4名，具体人选</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人数</w:t>
      </w:r>
      <w:r>
        <w:rPr>
          <w:rFonts w:hint="eastAsia" w:ascii="宋体" w:hAnsi="宋体" w:cs="宋体"/>
          <w:color w:val="auto"/>
          <w:szCs w:val="21"/>
          <w:highlight w:val="none"/>
          <w:lang w:val="en-US" w:eastAsia="zh-CN"/>
        </w:rPr>
        <w:t>需经</w:t>
      </w:r>
      <w:r>
        <w:rPr>
          <w:rFonts w:hint="eastAsia" w:ascii="宋体" w:hAnsi="宋体" w:eastAsia="宋体" w:cs="宋体"/>
          <w:color w:val="auto"/>
          <w:sz w:val="21"/>
          <w:szCs w:val="21"/>
          <w:highlight w:val="none"/>
          <w:lang w:val="en-US" w:eastAsia="zh-CN"/>
        </w:rPr>
        <w:t>采购人</w:t>
      </w:r>
      <w:r>
        <w:rPr>
          <w:rFonts w:hint="eastAsia" w:ascii="宋体" w:hAnsi="宋体" w:cs="宋体"/>
          <w:color w:val="auto"/>
          <w:szCs w:val="21"/>
          <w:highlight w:val="none"/>
          <w:lang w:val="en-US" w:eastAsia="zh-CN"/>
        </w:rPr>
        <w:t>同意</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lang w:val="en-US" w:eastAsia="zh-CN"/>
        </w:rPr>
        <w:t>负责用工工资、安全等其他全部用工事宜。</w:t>
      </w:r>
    </w:p>
    <w:p w14:paraId="67F25102">
      <w:pPr>
        <w:keepNext w:val="0"/>
        <w:keepLines w:val="0"/>
        <w:pageBreakBefore w:val="0"/>
        <w:kinsoku/>
        <w:wordWrap/>
        <w:overflowPunct/>
        <w:topLinePunct w:val="0"/>
        <w:autoSpaceDE/>
        <w:autoSpaceDN/>
        <w:bidi w:val="0"/>
        <w:adjustRightInd/>
        <w:spacing w:beforeLines="0"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lang w:val="en-US" w:eastAsia="zh-CN"/>
        </w:rPr>
        <w:t>及后场业主要求卸土、平整土方，标高要在指定高度，如因没有按要求控制卸土、平整土方或者没控制好卸土标高，</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lang w:val="en-US" w:eastAsia="zh-CN"/>
        </w:rPr>
        <w:t>须无条件将土方按要求平整。</w:t>
      </w:r>
    </w:p>
    <w:p w14:paraId="1D348F66">
      <w:pPr>
        <w:pStyle w:val="2"/>
        <w:keepNext w:val="0"/>
        <w:keepLines w:val="0"/>
        <w:pageBreakBefore w:val="0"/>
        <w:kinsoku/>
        <w:wordWrap/>
        <w:overflowPunct/>
        <w:topLinePunct w:val="0"/>
        <w:autoSpaceDE/>
        <w:autoSpaceDN/>
        <w:bidi w:val="0"/>
        <w:adjustRightInd/>
        <w:spacing w:beforeLines="0" w:after="0"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7、工期届满，如卸土总量未达到合同约定总量，</w:t>
      </w:r>
      <w:r>
        <w:rPr>
          <w:rFonts w:hint="eastAsia" w:ascii="宋体" w:hAnsi="宋体" w:eastAsia="宋体" w:cs="宋体"/>
          <w:color w:val="auto"/>
          <w:sz w:val="21"/>
          <w:szCs w:val="21"/>
          <w:highlight w:val="none"/>
          <w:lang w:val="en-US" w:eastAsia="zh-CN"/>
        </w:rPr>
        <w:t>采购供应商</w:t>
      </w:r>
      <w:r>
        <w:rPr>
          <w:rFonts w:hint="eastAsia" w:ascii="宋体" w:hAnsi="宋体" w:eastAsia="宋体" w:cs="宋体"/>
          <w:color w:val="auto"/>
          <w:szCs w:val="21"/>
          <w:highlight w:val="none"/>
          <w:lang w:val="en-US" w:eastAsia="zh-CN"/>
        </w:rPr>
        <w:t>可以提出延期申请，是否延期由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Cs w:val="21"/>
          <w:highlight w:val="none"/>
          <w:lang w:val="en-US" w:eastAsia="zh-CN"/>
        </w:rPr>
        <w:t>决定。</w:t>
      </w:r>
    </w:p>
    <w:bookmarkEnd w:id="190"/>
    <w:p w14:paraId="6AF03937">
      <w:pPr>
        <w:adjustRightInd w:val="0"/>
        <w:spacing w:beforeLines="0" w:line="360" w:lineRule="auto"/>
        <w:ind w:firstLine="420" w:firstLineChars="200"/>
        <w:rPr>
          <w:rFonts w:hint="eastAsia" w:ascii="宋体" w:hAnsi="宋体" w:eastAsia="宋体" w:cs="宋体"/>
          <w:color w:val="auto"/>
          <w:sz w:val="21"/>
          <w:szCs w:val="21"/>
          <w:highlight w:val="none"/>
        </w:rPr>
      </w:pPr>
    </w:p>
    <w:p w14:paraId="5C13830C">
      <w:pPr>
        <w:pStyle w:val="3"/>
        <w:spacing w:beforeLines="0" w:after="0" w:line="360" w:lineRule="auto"/>
        <w:ind w:firstLine="440"/>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192" w:name="_Toc24759"/>
      <w:bookmarkStart w:id="193" w:name="_Toc29253"/>
      <w:bookmarkStart w:id="194" w:name="_Toc18079"/>
      <w:bookmarkStart w:id="195" w:name="_Toc9073"/>
      <w:bookmarkStart w:id="196" w:name="_Toc15714"/>
      <w:bookmarkStart w:id="197" w:name="_Toc3859"/>
      <w:bookmarkStart w:id="198" w:name="_Toc2859"/>
      <w:bookmarkStart w:id="199" w:name="_Toc8333"/>
      <w:r>
        <w:rPr>
          <w:rFonts w:hint="eastAsia" w:ascii="宋体" w:hAnsi="宋体" w:eastAsia="宋体" w:cs="宋体"/>
          <w:b/>
          <w:bCs/>
          <w:color w:val="auto"/>
          <w:sz w:val="32"/>
          <w:szCs w:val="32"/>
          <w:highlight w:val="none"/>
        </w:rPr>
        <w:t>第五部分 评标原则及方法</w:t>
      </w:r>
      <w:bookmarkEnd w:id="189"/>
      <w:bookmarkEnd w:id="191"/>
      <w:bookmarkEnd w:id="192"/>
      <w:bookmarkEnd w:id="193"/>
      <w:bookmarkEnd w:id="194"/>
      <w:bookmarkEnd w:id="195"/>
      <w:bookmarkEnd w:id="196"/>
      <w:bookmarkEnd w:id="197"/>
      <w:bookmarkEnd w:id="198"/>
      <w:bookmarkEnd w:id="199"/>
    </w:p>
    <w:p w14:paraId="5C2A8F79">
      <w:pPr>
        <w:pStyle w:val="3"/>
        <w:adjustRightInd w:val="0"/>
        <w:snapToGrid/>
        <w:spacing w:beforeLines="0" w:after="0" w:line="360" w:lineRule="auto"/>
        <w:ind w:left="0" w:leftChars="0"/>
        <w:rPr>
          <w:rFonts w:hint="eastAsia" w:ascii="宋体" w:hAnsi="宋体" w:eastAsia="宋体" w:cs="宋体"/>
          <w:b/>
          <w:bCs/>
          <w:color w:val="auto"/>
          <w:szCs w:val="21"/>
          <w:highlight w:val="none"/>
        </w:rPr>
      </w:pPr>
      <w:bookmarkStart w:id="200" w:name="_Toc351809616"/>
      <w:bookmarkStart w:id="201" w:name="_Toc351809644"/>
      <w:r>
        <w:rPr>
          <w:rFonts w:hint="eastAsia" w:ascii="宋体" w:hAnsi="宋体" w:eastAsia="宋体" w:cs="宋体"/>
          <w:b/>
          <w:bCs/>
          <w:color w:val="auto"/>
          <w:szCs w:val="21"/>
          <w:highlight w:val="none"/>
        </w:rPr>
        <w:t>根据</w:t>
      </w:r>
      <w:r>
        <w:rPr>
          <w:rFonts w:hint="eastAsia" w:ascii="宋体" w:hAnsi="宋体" w:eastAsia="宋体" w:cs="宋体"/>
          <w:b/>
          <w:bCs/>
          <w:color w:val="auto"/>
          <w:szCs w:val="21"/>
          <w:highlight w:val="none"/>
          <w:lang w:eastAsia="zh-CN"/>
        </w:rPr>
        <w:t>《温州市市属国有企业采购管理办法》</w:t>
      </w:r>
      <w:r>
        <w:rPr>
          <w:rFonts w:hint="eastAsia" w:ascii="宋体" w:hAnsi="宋体" w:eastAsia="宋体" w:cs="宋体"/>
          <w:b/>
          <w:bCs/>
          <w:color w:val="auto"/>
          <w:szCs w:val="21"/>
          <w:highlight w:val="none"/>
        </w:rPr>
        <w:t>等相关法律、法规特制定以下评标办法。</w:t>
      </w:r>
    </w:p>
    <w:p w14:paraId="3C7A3DC8">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02" w:name="_Toc11461"/>
      <w:bookmarkStart w:id="203" w:name="_Toc17964"/>
      <w:r>
        <w:rPr>
          <w:rFonts w:hint="eastAsia" w:ascii="宋体" w:hAnsi="宋体" w:eastAsia="宋体" w:cs="宋体"/>
          <w:b/>
          <w:color w:val="auto"/>
          <w:kern w:val="2"/>
          <w:sz w:val="21"/>
          <w:szCs w:val="21"/>
          <w:highlight w:val="none"/>
          <w:lang w:val="en-US" w:eastAsia="zh-CN" w:bidi="ar-SA"/>
        </w:rPr>
        <w:t>一、</w:t>
      </w:r>
      <w:r>
        <w:rPr>
          <w:rFonts w:hint="eastAsia" w:ascii="宋体" w:hAnsi="宋体" w:eastAsia="宋体" w:cs="宋体"/>
          <w:b/>
          <w:color w:val="auto"/>
          <w:szCs w:val="21"/>
          <w:highlight w:val="none"/>
        </w:rPr>
        <w:t>总则</w:t>
      </w:r>
      <w:bookmarkEnd w:id="202"/>
      <w:bookmarkEnd w:id="203"/>
    </w:p>
    <w:p w14:paraId="693F452B">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应遵循公开、公平、公正、科学、择优原则和诚实、信誉、效率的服务原则。本着科学、严谨的态度，认真进行评标。择优选用，推进技术进步，确保项目质量、交货期，节约投资，最大限度的保护当事人权益，严格按照采购文件的商务、技术要求，对投标文件进行综合评定，提出优选方案，编写评标报告。对落标单位，评委会不作任何落标解释。投标供应商不得以任何方式干扰招投标工作的进行，一经发现其投标文件将被拒绝。</w:t>
      </w:r>
    </w:p>
    <w:p w14:paraId="58EE24AE">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04" w:name="_Toc25419"/>
      <w:bookmarkStart w:id="205" w:name="_Toc4012"/>
      <w:r>
        <w:rPr>
          <w:rFonts w:hint="eastAsia" w:ascii="宋体" w:hAnsi="宋体" w:eastAsia="宋体" w:cs="宋体"/>
          <w:b/>
          <w:color w:val="auto"/>
          <w:szCs w:val="21"/>
          <w:highlight w:val="none"/>
        </w:rPr>
        <w:t>二、评标组织</w:t>
      </w:r>
      <w:bookmarkEnd w:id="204"/>
      <w:bookmarkEnd w:id="205"/>
    </w:p>
    <w:p w14:paraId="76F8FB35">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评标工作由采购单位依法组建的评标委员会负责，评标全过程由有关部门指导监督。</w:t>
      </w:r>
    </w:p>
    <w:p w14:paraId="4B72FDDF">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06" w:name="_Toc967"/>
      <w:bookmarkStart w:id="207" w:name="_Toc15517"/>
      <w:r>
        <w:rPr>
          <w:rFonts w:hint="eastAsia" w:ascii="宋体" w:hAnsi="宋体" w:eastAsia="宋体" w:cs="宋体"/>
          <w:b/>
          <w:color w:val="auto"/>
          <w:szCs w:val="21"/>
          <w:highlight w:val="none"/>
        </w:rPr>
        <w:t>三、评标程序</w:t>
      </w:r>
    </w:p>
    <w:bookmarkEnd w:id="206"/>
    <w:bookmarkEnd w:id="207"/>
    <w:p w14:paraId="5C9BA583">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各投标供应商的投标资格进行审查；然后对合格投标供应商的技术资信标进行评审；技术资信标评审结束后开启商务（报价）标，开启商务（报价）标前先公布投标供应商技术得分情况，然后由投标供应商代表检查商务（报价）标的密封情况，确认无误后开启商务（报价）标并对商务（报价）标进行评审，根据综合评审结果，提交评审报告。</w:t>
      </w:r>
    </w:p>
    <w:p w14:paraId="758DA5B5">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08" w:name="_Toc4904"/>
      <w:bookmarkStart w:id="209" w:name="_Toc30355"/>
      <w:r>
        <w:rPr>
          <w:rFonts w:hint="eastAsia" w:ascii="宋体" w:hAnsi="宋体" w:eastAsia="宋体" w:cs="宋体"/>
          <w:b/>
          <w:color w:val="auto"/>
          <w:szCs w:val="21"/>
          <w:highlight w:val="none"/>
        </w:rPr>
        <w:t>四、评标办法</w:t>
      </w:r>
      <w:bookmarkEnd w:id="208"/>
      <w:bookmarkEnd w:id="209"/>
    </w:p>
    <w:p w14:paraId="5C8B8BB9">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本次评标采用综合评分法，总分100分，其中技术资信</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分，商务（报价）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分。即最大限度地满足采购文件实质性要求前提下，按照采购文件中规定的各项评分内容评审后，以评标总得分前两名的投标供应商，作为该标段第一中标候选供应商、第二中标候选供应商。</w:t>
      </w:r>
    </w:p>
    <w:p w14:paraId="63FE3D31">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10" w:name="_Toc7281"/>
      <w:bookmarkStart w:id="211" w:name="_Toc11782"/>
      <w:r>
        <w:rPr>
          <w:rFonts w:hint="eastAsia" w:ascii="宋体" w:hAnsi="宋体" w:eastAsia="宋体" w:cs="宋体"/>
          <w:b/>
          <w:color w:val="auto"/>
          <w:szCs w:val="21"/>
          <w:highlight w:val="none"/>
        </w:rPr>
        <w:t>五、评分细则</w:t>
      </w:r>
      <w:bookmarkEnd w:id="210"/>
      <w:bookmarkEnd w:id="211"/>
    </w:p>
    <w:p w14:paraId="09D82299">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1.技术资信分的评定（</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分）</w:t>
      </w:r>
    </w:p>
    <w:p w14:paraId="582F04FC">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委成员按下列评分内容进行评定，每人一张评分计算表，由评标委员会成员各自评定独立打分并记实名。如某张表的一项评分内容分值超过规定的范围，则该张表无效。评标委员会成员对投标供应商的各项评分内容评分的合计分的算术平均值为该投标供应商技术资信的最终得分（四舍五入，保留小数点后二位）。</w:t>
      </w:r>
    </w:p>
    <w:p w14:paraId="753321D7">
      <w:pPr>
        <w:pStyle w:val="3"/>
        <w:adjustRightInd w:val="0"/>
        <w:snapToGrid/>
        <w:spacing w:beforeLines="0" w:after="0"/>
        <w:ind w:left="0" w:leftChars="0" w:firstLine="420" w:firstLineChars="200"/>
        <w:rPr>
          <w:rFonts w:hint="eastAsia" w:ascii="宋体" w:hAnsi="宋体" w:eastAsia="宋体" w:cs="宋体"/>
          <w:color w:val="auto"/>
          <w:szCs w:val="21"/>
          <w:highlight w:val="none"/>
        </w:rPr>
      </w:pP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90"/>
        <w:gridCol w:w="1000"/>
        <w:gridCol w:w="6271"/>
      </w:tblGrid>
      <w:tr w14:paraId="4903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712" w:type="dxa"/>
            <w:noWrap w:val="0"/>
            <w:vAlign w:val="center"/>
          </w:tcPr>
          <w:p w14:paraId="53042C8D">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90" w:type="dxa"/>
            <w:noWrap w:val="0"/>
            <w:vAlign w:val="center"/>
          </w:tcPr>
          <w:p w14:paraId="15969130">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1000" w:type="dxa"/>
            <w:noWrap w:val="0"/>
            <w:vAlign w:val="center"/>
          </w:tcPr>
          <w:p w14:paraId="672B9DBD">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分值</w:t>
            </w:r>
          </w:p>
        </w:tc>
        <w:tc>
          <w:tcPr>
            <w:tcW w:w="6271" w:type="dxa"/>
            <w:noWrap w:val="0"/>
            <w:vAlign w:val="center"/>
          </w:tcPr>
          <w:p w14:paraId="3BBB30B7">
            <w:pPr>
              <w:keepNext w:val="0"/>
              <w:keepLines w:val="0"/>
              <w:widowControl/>
              <w:suppressLineNumbers w:val="0"/>
              <w:adjustRightInd/>
              <w:spacing w:before="0" w:beforeLines="0" w:beforeAutospacing="0" w:after="0" w:afterAutospacing="0" w:line="400" w:lineRule="exact"/>
              <w:ind w:left="0" w:right="0" w:firstLine="517" w:firstLineChars="245"/>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备注</w:t>
            </w:r>
          </w:p>
        </w:tc>
      </w:tr>
      <w:tr w14:paraId="355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2" w:type="dxa"/>
            <w:vMerge w:val="restart"/>
            <w:noWrap w:val="0"/>
            <w:vAlign w:val="center"/>
          </w:tcPr>
          <w:p w14:paraId="78E4E0B3">
            <w:pPr>
              <w:keepNext w:val="0"/>
              <w:keepLines w:val="0"/>
              <w:suppressLineNumbers w:val="0"/>
              <w:snapToGrid/>
              <w:spacing w:before="0" w:beforeLines="0" w:beforeAutospacing="0" w:after="0" w:afterAutospacing="0" w:line="400" w:lineRule="exact"/>
              <w:ind w:left="0" w:right="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0" w:type="dxa"/>
            <w:vMerge w:val="restart"/>
            <w:noWrap w:val="0"/>
            <w:vAlign w:val="center"/>
          </w:tcPr>
          <w:p w14:paraId="7F97B5FA">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综合实力情况</w:t>
            </w:r>
          </w:p>
        </w:tc>
        <w:tc>
          <w:tcPr>
            <w:tcW w:w="1000" w:type="dxa"/>
            <w:noWrap w:val="0"/>
            <w:vAlign w:val="center"/>
          </w:tcPr>
          <w:p w14:paraId="04B78B76">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271" w:type="dxa"/>
            <w:noWrap w:val="0"/>
            <w:vAlign w:val="center"/>
          </w:tcPr>
          <w:p w14:paraId="790B5163">
            <w:pPr>
              <w:keepNext w:val="0"/>
              <w:keepLines w:val="0"/>
              <w:suppressLineNumbers w:val="0"/>
              <w:spacing w:before="0" w:beforeLines="0" w:beforeAutospacing="0" w:after="0" w:afterAutospacing="0" w:line="400" w:lineRule="exact"/>
              <w:ind w:left="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rPr>
              <w:t>主要考察</w:t>
            </w:r>
            <w:r>
              <w:rPr>
                <w:rFonts w:hint="eastAsia" w:ascii="宋体" w:hAnsi="宋体" w:eastAsia="宋体" w:cs="宋体"/>
                <w:bCs w:val="0"/>
                <w:snapToGrid/>
                <w:color w:val="auto"/>
                <w:sz w:val="21"/>
                <w:szCs w:val="21"/>
                <w:highlight w:val="none"/>
                <w:lang w:eastAsia="zh-CN"/>
              </w:rPr>
              <w:t>投标供应商</w:t>
            </w:r>
            <w:r>
              <w:rPr>
                <w:rFonts w:hint="eastAsia" w:ascii="宋体" w:hAnsi="宋体" w:eastAsia="宋体" w:cs="宋体"/>
                <w:bCs w:val="0"/>
                <w:snapToGrid/>
                <w:color w:val="auto"/>
                <w:sz w:val="21"/>
                <w:szCs w:val="21"/>
                <w:highlight w:val="none"/>
              </w:rPr>
              <w:t>提供的企业综合实力（含企业规模、信誉、荣誉、财务状况、技术力量等内容）证明材料情况。</w:t>
            </w:r>
          </w:p>
          <w:p w14:paraId="53F3A374">
            <w:pPr>
              <w:keepNext w:val="0"/>
              <w:keepLines w:val="0"/>
              <w:suppressLineNumbers w:val="0"/>
              <w:spacing w:before="0" w:beforeLines="0" w:beforeAutospacing="0" w:after="0" w:afterAutospacing="0" w:line="400" w:lineRule="exact"/>
              <w:ind w:left="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rPr>
              <w:t>（证明材料：提供相关证书复印件</w:t>
            </w:r>
            <w:r>
              <w:rPr>
                <w:rFonts w:hint="eastAsia" w:ascii="宋体" w:hAnsi="宋体" w:cs="宋体"/>
                <w:bCs w:val="0"/>
                <w:snapToGrid/>
                <w:color w:val="auto"/>
                <w:sz w:val="21"/>
                <w:szCs w:val="21"/>
                <w:highlight w:val="none"/>
                <w:lang w:val="en-US" w:eastAsia="zh-CN"/>
              </w:rPr>
              <w:t>或</w:t>
            </w:r>
            <w:r>
              <w:rPr>
                <w:rFonts w:hint="eastAsia" w:ascii="宋体" w:hAnsi="宋体" w:eastAsia="宋体" w:cs="宋体"/>
                <w:bCs w:val="0"/>
                <w:snapToGrid/>
                <w:color w:val="auto"/>
                <w:sz w:val="21"/>
                <w:szCs w:val="21"/>
                <w:highlight w:val="none"/>
              </w:rPr>
              <w:t>原件，否则不予得分。）</w:t>
            </w:r>
          </w:p>
          <w:p w14:paraId="4AD83956">
            <w:pPr>
              <w:keepNext w:val="0"/>
              <w:keepLines w:val="0"/>
              <w:suppressLineNumbers w:val="0"/>
              <w:spacing w:before="0" w:beforeLines="0" w:beforeAutospacing="0" w:after="0" w:afterAutospacing="0" w:line="40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A档：10-7分；B档：7-3分；C档：3-0分。</w:t>
            </w:r>
          </w:p>
        </w:tc>
      </w:tr>
      <w:tr w14:paraId="74F0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2" w:type="dxa"/>
            <w:vMerge w:val="continue"/>
            <w:noWrap w:val="0"/>
            <w:vAlign w:val="center"/>
          </w:tcPr>
          <w:p w14:paraId="19847D67">
            <w:pPr>
              <w:keepNext w:val="0"/>
              <w:keepLines w:val="0"/>
              <w:suppressLineNumbers w:val="0"/>
              <w:snapToGrid/>
              <w:spacing w:before="0" w:beforeLines="0" w:beforeAutospacing="0" w:after="0" w:afterAutospacing="0" w:line="400" w:lineRule="exact"/>
              <w:ind w:left="0" w:right="0" w:firstLine="514" w:firstLineChars="245"/>
              <w:jc w:val="center"/>
              <w:rPr>
                <w:rFonts w:hint="eastAsia" w:ascii="宋体" w:hAnsi="宋体" w:eastAsia="宋体" w:cs="宋体"/>
                <w:color w:val="auto"/>
                <w:sz w:val="21"/>
                <w:szCs w:val="21"/>
                <w:highlight w:val="none"/>
              </w:rPr>
            </w:pPr>
          </w:p>
        </w:tc>
        <w:tc>
          <w:tcPr>
            <w:tcW w:w="1790" w:type="dxa"/>
            <w:vMerge w:val="continue"/>
            <w:noWrap w:val="0"/>
            <w:vAlign w:val="center"/>
          </w:tcPr>
          <w:p w14:paraId="220BFF21">
            <w:pPr>
              <w:keepNext w:val="0"/>
              <w:keepLines w:val="0"/>
              <w:suppressLineNumbers w:val="0"/>
              <w:snapToGrid/>
              <w:spacing w:before="0" w:beforeLines="0" w:beforeAutospacing="0" w:after="0" w:afterAutospacing="0" w:line="400" w:lineRule="exact"/>
              <w:ind w:left="0" w:right="0" w:firstLine="514" w:firstLineChars="245"/>
              <w:jc w:val="center"/>
              <w:rPr>
                <w:rFonts w:hint="eastAsia" w:ascii="宋体" w:hAnsi="宋体" w:eastAsia="宋体" w:cs="宋体"/>
                <w:color w:val="auto"/>
                <w:sz w:val="21"/>
                <w:szCs w:val="21"/>
                <w:highlight w:val="none"/>
                <w:lang w:val="en-US" w:eastAsia="zh-CN"/>
              </w:rPr>
            </w:pPr>
          </w:p>
        </w:tc>
        <w:tc>
          <w:tcPr>
            <w:tcW w:w="1000" w:type="dxa"/>
            <w:noWrap w:val="0"/>
            <w:vAlign w:val="center"/>
          </w:tcPr>
          <w:p w14:paraId="63DC3A7E">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71" w:type="dxa"/>
            <w:noWrap w:val="0"/>
            <w:vAlign w:val="center"/>
          </w:tcPr>
          <w:p w14:paraId="649486B5">
            <w:pPr>
              <w:keepNext w:val="0"/>
              <w:keepLines w:val="0"/>
              <w:suppressLineNumbers w:val="0"/>
              <w:spacing w:before="0" w:beforeLines="0" w:beforeAutospacing="0" w:after="0" w:afterAutospacing="0" w:line="400" w:lineRule="exact"/>
              <w:ind w:left="0" w:leftChars="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lang w:eastAsia="zh-CN"/>
              </w:rPr>
              <w:t>投标供应商</w:t>
            </w:r>
            <w:r>
              <w:rPr>
                <w:rFonts w:hint="eastAsia" w:ascii="宋体" w:hAnsi="宋体" w:eastAsia="宋体" w:cs="宋体"/>
                <w:bCs w:val="0"/>
                <w:snapToGrid/>
                <w:color w:val="auto"/>
                <w:sz w:val="21"/>
                <w:szCs w:val="21"/>
                <w:highlight w:val="none"/>
              </w:rPr>
              <w:t>提供</w:t>
            </w:r>
            <w:r>
              <w:rPr>
                <w:rFonts w:hint="eastAsia" w:ascii="宋体" w:hAnsi="宋体" w:eastAsia="宋体" w:cs="宋体"/>
                <w:bCs w:val="0"/>
                <w:snapToGrid/>
                <w:color w:val="auto"/>
                <w:sz w:val="21"/>
                <w:szCs w:val="21"/>
                <w:highlight w:val="none"/>
                <w:lang w:val="en-US" w:eastAsia="zh-CN"/>
              </w:rPr>
              <w:t>其</w:t>
            </w:r>
            <w:r>
              <w:rPr>
                <w:rFonts w:hint="eastAsia" w:ascii="宋体" w:hAnsi="宋体" w:eastAsia="宋体" w:cs="宋体"/>
                <w:bCs w:val="0"/>
                <w:snapToGrid/>
                <w:color w:val="auto"/>
                <w:sz w:val="21"/>
                <w:szCs w:val="21"/>
                <w:highlight w:val="none"/>
              </w:rPr>
              <w:t>名下挖机合格证并附发票，根据</w:t>
            </w:r>
            <w:r>
              <w:rPr>
                <w:rFonts w:hint="eastAsia" w:ascii="宋体" w:hAnsi="宋体" w:eastAsia="宋体" w:cs="宋体"/>
                <w:bCs w:val="0"/>
                <w:snapToGrid/>
                <w:color w:val="auto"/>
                <w:sz w:val="21"/>
                <w:szCs w:val="21"/>
                <w:highlight w:val="none"/>
                <w:lang w:eastAsia="zh-CN"/>
              </w:rPr>
              <w:t>投标供应商</w:t>
            </w:r>
            <w:r>
              <w:rPr>
                <w:rFonts w:hint="eastAsia" w:ascii="宋体" w:hAnsi="宋体" w:cs="宋体"/>
                <w:color w:val="auto"/>
                <w:szCs w:val="21"/>
                <w:highlight w:val="none"/>
              </w:rPr>
              <w:t>名下挖机</w:t>
            </w:r>
            <w:r>
              <w:rPr>
                <w:rFonts w:hint="eastAsia" w:ascii="宋体" w:hAnsi="宋体" w:cs="宋体"/>
                <w:color w:val="auto"/>
                <w:szCs w:val="21"/>
                <w:highlight w:val="none"/>
                <w:lang w:val="en-US" w:eastAsia="zh-CN"/>
              </w:rPr>
              <w:t>数量由高到低排序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排名第一名至第三名的得15分，排名第四名至第六名的得12分，排名第七名至第九名的得9分，排名第十名至第十二名的得6分，排名第十三名至第十五名的得3分，排名第十六名及之后排名的得0分</w:t>
            </w:r>
            <w:r>
              <w:rPr>
                <w:rFonts w:hint="eastAsia" w:ascii="宋体" w:hAnsi="宋体" w:eastAsia="宋体" w:cs="宋体"/>
                <w:bCs w:val="0"/>
                <w:snapToGrid/>
                <w:color w:val="auto"/>
                <w:sz w:val="21"/>
                <w:szCs w:val="21"/>
                <w:highlight w:val="none"/>
              </w:rPr>
              <w:t>。</w:t>
            </w:r>
          </w:p>
          <w:p w14:paraId="7247EDC9">
            <w:pPr>
              <w:keepNext w:val="0"/>
              <w:keepLines w:val="0"/>
              <w:suppressLineNumbers w:val="0"/>
              <w:spacing w:before="0" w:beforeLines="0" w:beforeAutospacing="0" w:after="0" w:afterAutospacing="0" w:line="400" w:lineRule="exact"/>
              <w:ind w:left="0" w:leftChars="0" w:right="0" w:firstLine="0" w:firstLineChars="0"/>
              <w:rPr>
                <w:rFonts w:hint="eastAsia" w:ascii="宋体" w:hAnsi="宋体" w:eastAsia="宋体" w:cs="宋体"/>
                <w:bCs w:val="0"/>
                <w:snapToGrid/>
                <w:color w:val="auto"/>
                <w:sz w:val="21"/>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挖机数量相同的供应商，其名次并列，后续供应商的排名根据其实际</w:t>
            </w:r>
            <w:r>
              <w:rPr>
                <w:rFonts w:hint="eastAsia" w:ascii="宋体" w:hAnsi="宋体" w:cs="宋体"/>
                <w:color w:val="auto"/>
                <w:szCs w:val="21"/>
                <w:highlight w:val="none"/>
                <w:lang w:val="en-US" w:eastAsia="zh-CN"/>
              </w:rPr>
              <w:t>数量</w:t>
            </w:r>
            <w:r>
              <w:rPr>
                <w:rFonts w:hint="eastAsia" w:ascii="宋体" w:hAnsi="宋体" w:cs="宋体"/>
                <w:color w:val="auto"/>
                <w:szCs w:val="21"/>
                <w:highlight w:val="none"/>
              </w:rPr>
              <w:t>顺次确定，不因前列的并列情况而提前</w:t>
            </w:r>
            <w:r>
              <w:rPr>
                <w:rFonts w:hint="eastAsia" w:ascii="宋体" w:hAnsi="宋体" w:cs="宋体"/>
                <w:color w:val="auto"/>
                <w:szCs w:val="21"/>
                <w:highlight w:val="none"/>
                <w:lang w:eastAsia="zh-CN"/>
              </w:rPr>
              <w:t>。</w:t>
            </w:r>
          </w:p>
          <w:p w14:paraId="5EC2C0A5">
            <w:pPr>
              <w:keepNext w:val="0"/>
              <w:keepLines w:val="0"/>
              <w:suppressLineNumbers w:val="0"/>
              <w:spacing w:before="0" w:beforeLines="0" w:beforeAutospacing="0" w:after="0" w:afterAutospacing="0" w:line="400" w:lineRule="exact"/>
              <w:ind w:left="0" w:leftChars="0" w:right="0" w:firstLine="0" w:firstLineChars="0"/>
              <w:rPr>
                <w:rFonts w:hint="eastAsia" w:ascii="Times New Roman" w:hAnsi="Times New Roman" w:cs="Times New Roman"/>
                <w:color w:val="auto"/>
                <w:sz w:val="21"/>
                <w:szCs w:val="21"/>
                <w:highlight w:val="none"/>
                <w:lang w:eastAsia="zh-CN"/>
              </w:rPr>
            </w:pPr>
            <w:r>
              <w:rPr>
                <w:rFonts w:hint="eastAsia" w:ascii="宋体" w:hAnsi="宋体" w:eastAsia="宋体" w:cs="宋体"/>
                <w:bCs w:val="0"/>
                <w:snapToGrid/>
                <w:color w:val="auto"/>
                <w:sz w:val="21"/>
                <w:szCs w:val="21"/>
                <w:highlight w:val="none"/>
              </w:rPr>
              <w:t>（证明材料：提供相关证书复印件</w:t>
            </w:r>
            <w:r>
              <w:rPr>
                <w:rFonts w:hint="eastAsia" w:ascii="宋体" w:hAnsi="宋体" w:cs="宋体"/>
                <w:bCs w:val="0"/>
                <w:snapToGrid/>
                <w:color w:val="auto"/>
                <w:sz w:val="21"/>
                <w:szCs w:val="21"/>
                <w:highlight w:val="none"/>
                <w:lang w:val="en-US" w:eastAsia="zh-CN"/>
              </w:rPr>
              <w:t>或</w:t>
            </w:r>
            <w:r>
              <w:rPr>
                <w:rFonts w:hint="eastAsia" w:ascii="宋体" w:hAnsi="宋体" w:eastAsia="宋体" w:cs="宋体"/>
                <w:bCs w:val="0"/>
                <w:snapToGrid/>
                <w:color w:val="auto"/>
                <w:sz w:val="21"/>
                <w:szCs w:val="21"/>
                <w:highlight w:val="none"/>
              </w:rPr>
              <w:t>原件，否则不予得分。）</w:t>
            </w:r>
          </w:p>
        </w:tc>
      </w:tr>
      <w:tr w14:paraId="4C31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2" w:type="dxa"/>
            <w:vMerge w:val="continue"/>
            <w:noWrap w:val="0"/>
            <w:vAlign w:val="center"/>
          </w:tcPr>
          <w:p w14:paraId="3C2997B8">
            <w:pPr>
              <w:keepNext w:val="0"/>
              <w:keepLines w:val="0"/>
              <w:suppressLineNumbers w:val="0"/>
              <w:snapToGrid/>
              <w:spacing w:before="0" w:beforeLines="0" w:beforeAutospacing="0" w:after="0" w:afterAutospacing="0" w:line="400" w:lineRule="exact"/>
              <w:ind w:left="0" w:right="0" w:firstLine="514" w:firstLineChars="245"/>
              <w:jc w:val="both"/>
              <w:rPr>
                <w:rFonts w:hint="eastAsia" w:ascii="宋体" w:hAnsi="宋体" w:eastAsia="宋体" w:cs="宋体"/>
                <w:color w:val="auto"/>
                <w:sz w:val="21"/>
                <w:szCs w:val="21"/>
                <w:highlight w:val="none"/>
              </w:rPr>
            </w:pPr>
          </w:p>
        </w:tc>
        <w:tc>
          <w:tcPr>
            <w:tcW w:w="1790" w:type="dxa"/>
            <w:vMerge w:val="continue"/>
            <w:noWrap w:val="0"/>
            <w:vAlign w:val="center"/>
          </w:tcPr>
          <w:p w14:paraId="0217BAEA">
            <w:pPr>
              <w:keepNext w:val="0"/>
              <w:keepLines w:val="0"/>
              <w:suppressLineNumbers w:val="0"/>
              <w:snapToGrid/>
              <w:spacing w:before="0" w:beforeLines="0" w:beforeAutospacing="0" w:after="0" w:afterAutospacing="0" w:line="400" w:lineRule="exact"/>
              <w:ind w:left="0" w:right="0" w:firstLine="514" w:firstLineChars="245"/>
              <w:rPr>
                <w:rFonts w:hint="eastAsia" w:ascii="宋体" w:hAnsi="宋体" w:eastAsia="宋体" w:cs="宋体"/>
                <w:color w:val="auto"/>
                <w:sz w:val="21"/>
                <w:szCs w:val="21"/>
                <w:highlight w:val="none"/>
                <w:lang w:val="en-US" w:eastAsia="zh-CN"/>
              </w:rPr>
            </w:pPr>
          </w:p>
        </w:tc>
        <w:tc>
          <w:tcPr>
            <w:tcW w:w="1000" w:type="dxa"/>
            <w:noWrap w:val="0"/>
            <w:vAlign w:val="center"/>
          </w:tcPr>
          <w:p w14:paraId="1AD7F7FF">
            <w:pPr>
              <w:keepNext w:val="0"/>
              <w:keepLines w:val="0"/>
              <w:suppressLineNumbers w:val="0"/>
              <w:snapToGrid/>
              <w:spacing w:before="0" w:beforeLines="0" w:beforeAutospacing="0" w:after="0" w:afterAutospacing="0" w:line="400" w:lineRule="exact"/>
              <w:ind w:left="0" w:right="0" w:firstLine="0" w:firstLineChars="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71" w:type="dxa"/>
            <w:noWrap w:val="0"/>
            <w:vAlign w:val="center"/>
          </w:tcPr>
          <w:p w14:paraId="6CE3FF9A">
            <w:pPr>
              <w:keepNext w:val="0"/>
              <w:keepLines w:val="0"/>
              <w:suppressLineNumbers w:val="0"/>
              <w:spacing w:before="0" w:beforeLines="0" w:beforeAutospacing="0" w:after="0" w:afterAutospacing="0" w:line="400" w:lineRule="exact"/>
              <w:ind w:left="0" w:leftChars="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lang w:eastAsia="zh-CN"/>
              </w:rPr>
              <w:t>投标供应商</w:t>
            </w:r>
            <w:r>
              <w:rPr>
                <w:rFonts w:hint="eastAsia" w:ascii="宋体" w:hAnsi="宋体" w:eastAsia="宋体" w:cs="宋体"/>
                <w:bCs w:val="0"/>
                <w:snapToGrid/>
                <w:color w:val="auto"/>
                <w:sz w:val="21"/>
                <w:szCs w:val="21"/>
                <w:highlight w:val="none"/>
              </w:rPr>
              <w:t>提供</w:t>
            </w:r>
            <w:r>
              <w:rPr>
                <w:rFonts w:hint="eastAsia" w:ascii="宋体" w:hAnsi="宋体" w:eastAsia="宋体" w:cs="宋体"/>
                <w:bCs w:val="0"/>
                <w:snapToGrid/>
                <w:color w:val="auto"/>
                <w:sz w:val="21"/>
                <w:szCs w:val="21"/>
                <w:highlight w:val="none"/>
                <w:lang w:val="en-US" w:eastAsia="zh-CN"/>
              </w:rPr>
              <w:t>其</w:t>
            </w:r>
            <w:r>
              <w:rPr>
                <w:rFonts w:hint="eastAsia" w:ascii="宋体" w:hAnsi="宋体" w:eastAsia="宋体" w:cs="宋体"/>
                <w:bCs w:val="0"/>
                <w:snapToGrid/>
                <w:color w:val="auto"/>
                <w:sz w:val="21"/>
                <w:szCs w:val="21"/>
                <w:highlight w:val="none"/>
              </w:rPr>
              <w:t>名下挖机驾驶员操作证，根据</w:t>
            </w:r>
            <w:r>
              <w:rPr>
                <w:rFonts w:hint="eastAsia" w:ascii="宋体" w:hAnsi="宋体" w:eastAsia="宋体" w:cs="宋体"/>
                <w:bCs w:val="0"/>
                <w:snapToGrid/>
                <w:color w:val="auto"/>
                <w:sz w:val="21"/>
                <w:szCs w:val="21"/>
                <w:highlight w:val="none"/>
                <w:lang w:eastAsia="zh-CN"/>
              </w:rPr>
              <w:t>投标供应商</w:t>
            </w:r>
            <w:r>
              <w:rPr>
                <w:rFonts w:hint="eastAsia" w:ascii="宋体" w:hAnsi="宋体" w:cs="宋体"/>
                <w:color w:val="auto"/>
                <w:szCs w:val="21"/>
                <w:highlight w:val="none"/>
              </w:rPr>
              <w:t>名下</w:t>
            </w:r>
            <w:r>
              <w:rPr>
                <w:rFonts w:hint="eastAsia" w:ascii="宋体" w:hAnsi="宋体" w:eastAsia="宋体" w:cs="宋体"/>
                <w:bCs w:val="0"/>
                <w:snapToGrid/>
                <w:color w:val="auto"/>
                <w:sz w:val="21"/>
                <w:szCs w:val="21"/>
                <w:highlight w:val="none"/>
              </w:rPr>
              <w:t>挖机驾驶员</w:t>
            </w:r>
            <w:r>
              <w:rPr>
                <w:rFonts w:hint="eastAsia" w:ascii="宋体" w:hAnsi="宋体" w:cs="宋体"/>
                <w:color w:val="auto"/>
                <w:szCs w:val="21"/>
                <w:highlight w:val="none"/>
                <w:lang w:val="en-US" w:eastAsia="zh-CN"/>
              </w:rPr>
              <w:t>数量由高到低排序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排名第一名至第三名的得15分，排名第四名至第六名的得12分，排名第七名至第九名的得9分，排名第十名至第十二名的得6分，排名第十三名至第十五名的得3分，排名第十六名及之后排名的得0分</w:t>
            </w:r>
            <w:r>
              <w:rPr>
                <w:rFonts w:hint="eastAsia" w:ascii="宋体" w:hAnsi="宋体" w:eastAsia="宋体" w:cs="宋体"/>
                <w:bCs w:val="0"/>
                <w:snapToGrid/>
                <w:color w:val="auto"/>
                <w:sz w:val="21"/>
                <w:szCs w:val="21"/>
                <w:highlight w:val="none"/>
              </w:rPr>
              <w:t>。</w:t>
            </w:r>
          </w:p>
          <w:p w14:paraId="3B3ACE14">
            <w:pPr>
              <w:keepNext w:val="0"/>
              <w:keepLines w:val="0"/>
              <w:suppressLineNumbers w:val="0"/>
              <w:spacing w:before="0" w:beforeLines="0" w:beforeAutospacing="0" w:after="0" w:afterAutospacing="0" w:line="400" w:lineRule="exact"/>
              <w:ind w:left="0" w:leftChars="0" w:right="0" w:firstLine="0" w:firstLineChars="0"/>
              <w:rPr>
                <w:rFonts w:hint="eastAsia" w:ascii="宋体" w:hAnsi="宋体" w:eastAsia="宋体" w:cs="宋体"/>
                <w:bCs w:val="0"/>
                <w:snapToGrid/>
                <w:color w:val="auto"/>
                <w:sz w:val="21"/>
                <w:szCs w:val="21"/>
                <w:highlight w:val="none"/>
              </w:rPr>
            </w:pPr>
            <w:r>
              <w:rPr>
                <w:rFonts w:hint="eastAsia" w:ascii="宋体" w:hAnsi="宋体" w:cs="宋体"/>
                <w:color w:val="auto"/>
                <w:szCs w:val="21"/>
                <w:highlight w:val="none"/>
                <w:lang w:val="en-US" w:eastAsia="zh-CN"/>
              </w:rPr>
              <w:t>注：</w:t>
            </w:r>
            <w:r>
              <w:rPr>
                <w:rFonts w:hint="eastAsia" w:ascii="宋体" w:hAnsi="宋体" w:eastAsia="宋体" w:cs="宋体"/>
                <w:bCs w:val="0"/>
                <w:snapToGrid/>
                <w:color w:val="auto"/>
                <w:sz w:val="21"/>
                <w:szCs w:val="21"/>
                <w:highlight w:val="none"/>
              </w:rPr>
              <w:t>挖机驾驶员</w:t>
            </w:r>
            <w:r>
              <w:rPr>
                <w:rFonts w:hint="eastAsia" w:ascii="宋体" w:hAnsi="宋体" w:cs="宋体"/>
                <w:color w:val="auto"/>
                <w:szCs w:val="21"/>
                <w:highlight w:val="none"/>
              </w:rPr>
              <w:t>数量相同的供应商，其名次并列，后续供应商的排名根据其实际</w:t>
            </w:r>
            <w:r>
              <w:rPr>
                <w:rFonts w:hint="eastAsia" w:ascii="宋体" w:hAnsi="宋体" w:cs="宋体"/>
                <w:color w:val="auto"/>
                <w:szCs w:val="21"/>
                <w:highlight w:val="none"/>
                <w:lang w:val="en-US" w:eastAsia="zh-CN"/>
              </w:rPr>
              <w:t>数量</w:t>
            </w:r>
            <w:r>
              <w:rPr>
                <w:rFonts w:hint="eastAsia" w:ascii="宋体" w:hAnsi="宋体" w:cs="宋体"/>
                <w:color w:val="auto"/>
                <w:szCs w:val="21"/>
                <w:highlight w:val="none"/>
              </w:rPr>
              <w:t>顺次确定，不因前列的并列情况而提前</w:t>
            </w:r>
            <w:r>
              <w:rPr>
                <w:rFonts w:hint="eastAsia" w:ascii="宋体" w:hAnsi="宋体" w:eastAsia="宋体" w:cs="宋体"/>
                <w:bCs w:val="0"/>
                <w:snapToGrid/>
                <w:color w:val="auto"/>
                <w:sz w:val="21"/>
                <w:szCs w:val="21"/>
                <w:highlight w:val="none"/>
              </w:rPr>
              <w:t>。</w:t>
            </w:r>
          </w:p>
          <w:p w14:paraId="1461CC8B">
            <w:pPr>
              <w:keepNext w:val="0"/>
              <w:keepLines w:val="0"/>
              <w:suppressLineNumbers w:val="0"/>
              <w:spacing w:before="0" w:beforeLines="0" w:beforeAutospacing="0" w:after="0" w:afterAutospacing="0" w:line="400" w:lineRule="exact"/>
              <w:ind w:left="0" w:leftChars="0" w:right="0" w:firstLine="0" w:firstLineChars="0"/>
              <w:rPr>
                <w:rFonts w:hint="eastAsia" w:ascii="Times New Roman" w:hAnsi="Times New Roman" w:cs="Times New Roman"/>
                <w:color w:val="auto"/>
                <w:sz w:val="21"/>
                <w:szCs w:val="21"/>
                <w:highlight w:val="none"/>
                <w:lang w:eastAsia="zh-CN"/>
              </w:rPr>
            </w:pPr>
            <w:r>
              <w:rPr>
                <w:rFonts w:hint="eastAsia" w:ascii="宋体" w:hAnsi="宋体" w:eastAsia="宋体" w:cs="宋体"/>
                <w:bCs w:val="0"/>
                <w:snapToGrid/>
                <w:color w:val="auto"/>
                <w:sz w:val="21"/>
                <w:szCs w:val="21"/>
                <w:highlight w:val="none"/>
              </w:rPr>
              <w:t>（证明材料：提供相关证书复印件</w:t>
            </w:r>
            <w:r>
              <w:rPr>
                <w:rFonts w:hint="eastAsia" w:ascii="宋体" w:hAnsi="宋体" w:cs="宋体"/>
                <w:bCs w:val="0"/>
                <w:snapToGrid/>
                <w:color w:val="auto"/>
                <w:sz w:val="21"/>
                <w:szCs w:val="21"/>
                <w:highlight w:val="none"/>
                <w:lang w:val="en-US" w:eastAsia="zh-CN"/>
              </w:rPr>
              <w:t>或</w:t>
            </w:r>
            <w:r>
              <w:rPr>
                <w:rFonts w:hint="eastAsia" w:ascii="宋体" w:hAnsi="宋体" w:eastAsia="宋体" w:cs="宋体"/>
                <w:bCs w:val="0"/>
                <w:snapToGrid/>
                <w:color w:val="auto"/>
                <w:sz w:val="21"/>
                <w:szCs w:val="21"/>
                <w:highlight w:val="none"/>
              </w:rPr>
              <w:t>原件，否则不予得分。）</w:t>
            </w:r>
          </w:p>
        </w:tc>
      </w:tr>
      <w:tr w14:paraId="0198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2" w:type="dxa"/>
            <w:noWrap w:val="0"/>
            <w:vAlign w:val="center"/>
          </w:tcPr>
          <w:p w14:paraId="3665F775">
            <w:pPr>
              <w:keepNext w:val="0"/>
              <w:keepLines w:val="0"/>
              <w:suppressLineNumbers w:val="0"/>
              <w:snapToGrid/>
              <w:spacing w:before="0" w:beforeLines="0" w:beforeAutospacing="0" w:after="0" w:afterAutospacing="0" w:line="400" w:lineRule="exact"/>
              <w:ind w:left="0" w:right="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90" w:type="dxa"/>
            <w:noWrap w:val="0"/>
            <w:vAlign w:val="center"/>
          </w:tcPr>
          <w:p w14:paraId="2D655B6C">
            <w:pPr>
              <w:keepNext w:val="0"/>
              <w:keepLines w:val="0"/>
              <w:suppressLineNumbers w:val="0"/>
              <w:snapToGrid/>
              <w:spacing w:before="0" w:beforeLines="0" w:beforeAutospacing="0" w:after="0" w:afterAutospacing="0" w:line="400" w:lineRule="exact"/>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业绩</w:t>
            </w:r>
          </w:p>
        </w:tc>
        <w:tc>
          <w:tcPr>
            <w:tcW w:w="1000" w:type="dxa"/>
            <w:noWrap w:val="0"/>
            <w:vAlign w:val="center"/>
          </w:tcPr>
          <w:p w14:paraId="5655AA37">
            <w:pPr>
              <w:keepNext w:val="0"/>
              <w:keepLines w:val="0"/>
              <w:suppressLineNumbers w:val="0"/>
              <w:snapToGrid/>
              <w:spacing w:before="0" w:beforeLines="0" w:beforeAutospacing="0" w:after="0" w:afterAutospacing="0" w:line="400" w:lineRule="exact"/>
              <w:ind w:left="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snapToGrid/>
                <w:color w:val="auto"/>
                <w:sz w:val="21"/>
                <w:szCs w:val="21"/>
                <w:highlight w:val="none"/>
              </w:rPr>
              <w:t>0-</w:t>
            </w:r>
            <w:r>
              <w:rPr>
                <w:rFonts w:hint="eastAsia" w:ascii="宋体" w:hAnsi="宋体" w:eastAsia="宋体" w:cs="宋体"/>
                <w:snapToGrid/>
                <w:color w:val="auto"/>
                <w:sz w:val="21"/>
                <w:szCs w:val="21"/>
                <w:highlight w:val="none"/>
                <w:lang w:val="en-US" w:eastAsia="zh-CN"/>
              </w:rPr>
              <w:t>5</w:t>
            </w:r>
            <w:r>
              <w:rPr>
                <w:rFonts w:hint="eastAsia" w:ascii="宋体" w:hAnsi="宋体" w:eastAsia="宋体" w:cs="宋体"/>
                <w:snapToGrid/>
                <w:color w:val="auto"/>
                <w:sz w:val="21"/>
                <w:szCs w:val="21"/>
                <w:highlight w:val="none"/>
              </w:rPr>
              <w:t>分</w:t>
            </w:r>
          </w:p>
        </w:tc>
        <w:tc>
          <w:tcPr>
            <w:tcW w:w="6271" w:type="dxa"/>
            <w:noWrap w:val="0"/>
            <w:vAlign w:val="center"/>
          </w:tcPr>
          <w:p w14:paraId="412F7B5E">
            <w:pPr>
              <w:keepNext w:val="0"/>
              <w:keepLines w:val="0"/>
              <w:suppressLineNumbers w:val="0"/>
              <w:snapToGrid/>
              <w:spacing w:before="0" w:beforeLines="0" w:beforeAutospacing="0" w:after="0" w:afterAutospacing="0" w:line="400" w:lineRule="exact"/>
              <w:ind w:left="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lang w:eastAsia="zh-CN"/>
              </w:rPr>
              <w:t>投标供应商</w:t>
            </w:r>
            <w:r>
              <w:rPr>
                <w:rFonts w:hint="eastAsia" w:ascii="宋体" w:hAnsi="宋体" w:eastAsia="宋体" w:cs="宋体"/>
                <w:bCs w:val="0"/>
                <w:snapToGrid/>
                <w:color w:val="auto"/>
                <w:sz w:val="21"/>
                <w:szCs w:val="21"/>
                <w:highlight w:val="none"/>
              </w:rPr>
              <w:t>自202</w:t>
            </w:r>
            <w:r>
              <w:rPr>
                <w:rFonts w:hint="eastAsia" w:ascii="宋体" w:hAnsi="宋体" w:eastAsia="宋体" w:cs="宋体"/>
                <w:bCs w:val="0"/>
                <w:snapToGrid/>
                <w:color w:val="auto"/>
                <w:sz w:val="21"/>
                <w:szCs w:val="21"/>
                <w:highlight w:val="none"/>
                <w:lang w:val="en-US" w:eastAsia="zh-CN"/>
              </w:rPr>
              <w:t>2</w:t>
            </w:r>
            <w:r>
              <w:rPr>
                <w:rFonts w:hint="eastAsia" w:ascii="宋体" w:hAnsi="宋体" w:eastAsia="宋体" w:cs="宋体"/>
                <w:bCs w:val="0"/>
                <w:snapToGrid/>
                <w:color w:val="auto"/>
                <w:sz w:val="21"/>
                <w:szCs w:val="21"/>
                <w:highlight w:val="none"/>
              </w:rPr>
              <w:t>年</w:t>
            </w:r>
            <w:r>
              <w:rPr>
                <w:rFonts w:hint="eastAsia" w:ascii="宋体" w:hAnsi="宋体" w:cs="宋体"/>
                <w:bCs w:val="0"/>
                <w:snapToGrid/>
                <w:color w:val="auto"/>
                <w:sz w:val="21"/>
                <w:szCs w:val="21"/>
                <w:highlight w:val="none"/>
                <w:lang w:val="en-US" w:eastAsia="zh-CN"/>
              </w:rPr>
              <w:t>7</w:t>
            </w:r>
            <w:r>
              <w:rPr>
                <w:rFonts w:hint="eastAsia" w:ascii="宋体" w:hAnsi="宋体" w:eastAsia="宋体" w:cs="宋体"/>
                <w:bCs w:val="0"/>
                <w:snapToGrid/>
                <w:color w:val="auto"/>
                <w:sz w:val="21"/>
                <w:szCs w:val="21"/>
                <w:highlight w:val="none"/>
              </w:rPr>
              <w:t>月1日（以签订合同时间为准）以来完成的类似项目业绩，每提供一个得1分；本项最高得</w:t>
            </w:r>
            <w:r>
              <w:rPr>
                <w:rFonts w:hint="eastAsia" w:ascii="宋体" w:hAnsi="宋体" w:eastAsia="宋体" w:cs="宋体"/>
                <w:bCs w:val="0"/>
                <w:snapToGrid/>
                <w:color w:val="auto"/>
                <w:sz w:val="21"/>
                <w:szCs w:val="21"/>
                <w:highlight w:val="none"/>
                <w:lang w:val="en-US" w:eastAsia="zh-CN"/>
              </w:rPr>
              <w:t>5</w:t>
            </w:r>
            <w:r>
              <w:rPr>
                <w:rFonts w:hint="eastAsia" w:ascii="宋体" w:hAnsi="宋体" w:eastAsia="宋体" w:cs="宋体"/>
                <w:bCs w:val="0"/>
                <w:snapToGrid/>
                <w:color w:val="auto"/>
                <w:sz w:val="21"/>
                <w:szCs w:val="21"/>
                <w:highlight w:val="none"/>
              </w:rPr>
              <w:t>分。</w:t>
            </w:r>
          </w:p>
          <w:p w14:paraId="0064CCBB">
            <w:pPr>
              <w:keepNext w:val="0"/>
              <w:keepLines w:val="0"/>
              <w:suppressLineNumbers w:val="0"/>
              <w:snapToGrid/>
              <w:spacing w:before="0" w:beforeLines="0" w:beforeAutospacing="0" w:after="0" w:afterAutospacing="0" w:line="400" w:lineRule="exact"/>
              <w:ind w:left="0" w:right="0" w:firstLine="0" w:firstLineChars="0"/>
              <w:rPr>
                <w:rFonts w:hint="eastAsia" w:ascii="宋体" w:hAnsi="宋体" w:eastAsia="宋体" w:cs="宋体"/>
                <w:bCs w:val="0"/>
                <w:snapToGrid/>
                <w:color w:val="auto"/>
                <w:sz w:val="21"/>
                <w:szCs w:val="21"/>
                <w:highlight w:val="none"/>
              </w:rPr>
            </w:pPr>
            <w:r>
              <w:rPr>
                <w:rFonts w:hint="eastAsia" w:ascii="宋体" w:hAnsi="宋体" w:eastAsia="宋体" w:cs="宋体"/>
                <w:bCs w:val="0"/>
                <w:snapToGrid/>
                <w:color w:val="auto"/>
                <w:sz w:val="21"/>
                <w:szCs w:val="21"/>
                <w:highlight w:val="none"/>
              </w:rPr>
              <w:t>（业绩证明材料：应提供合同</w:t>
            </w:r>
            <w:r>
              <w:rPr>
                <w:rFonts w:hint="eastAsia" w:ascii="宋体" w:hAnsi="宋体" w:cs="宋体"/>
                <w:bCs w:val="0"/>
                <w:snapToGrid/>
                <w:color w:val="auto"/>
                <w:sz w:val="21"/>
                <w:szCs w:val="21"/>
                <w:highlight w:val="none"/>
                <w:lang w:val="en-US" w:eastAsia="zh-CN"/>
              </w:rPr>
              <w:t>关键页</w:t>
            </w:r>
            <w:r>
              <w:rPr>
                <w:rFonts w:hint="eastAsia" w:ascii="宋体" w:hAnsi="宋体" w:eastAsia="宋体" w:cs="宋体"/>
                <w:bCs w:val="0"/>
                <w:snapToGrid/>
                <w:color w:val="auto"/>
                <w:sz w:val="21"/>
                <w:szCs w:val="21"/>
                <w:highlight w:val="none"/>
              </w:rPr>
              <w:t>；若合同未能体现该业绩的性质，须另外提供业主证明原件，否则业绩证明不予认可。承接业绩以合同签订时间为准。）</w:t>
            </w:r>
          </w:p>
        </w:tc>
      </w:tr>
      <w:tr w14:paraId="487B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2" w:type="dxa"/>
            <w:noWrap w:val="0"/>
            <w:vAlign w:val="center"/>
          </w:tcPr>
          <w:p w14:paraId="6D69567D">
            <w:pPr>
              <w:keepNext w:val="0"/>
              <w:keepLines w:val="0"/>
              <w:suppressLineNumbers w:val="0"/>
              <w:snapToGrid/>
              <w:spacing w:before="0" w:beforeLines="0" w:beforeAutospacing="0" w:after="0" w:afterAutospacing="0" w:line="400" w:lineRule="exact"/>
              <w:ind w:left="0" w:right="0" w:firstLine="210" w:firstLineChars="1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790" w:type="dxa"/>
            <w:noWrap w:val="0"/>
            <w:vAlign w:val="center"/>
          </w:tcPr>
          <w:p w14:paraId="70C9BED2">
            <w:pPr>
              <w:keepNext w:val="0"/>
              <w:keepLines w:val="0"/>
              <w:suppressLineNumbers w:val="0"/>
              <w:snapToGrid/>
              <w:spacing w:before="0" w:beforeLines="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合理化建议</w:t>
            </w:r>
          </w:p>
        </w:tc>
        <w:tc>
          <w:tcPr>
            <w:tcW w:w="1000" w:type="dxa"/>
            <w:noWrap w:val="0"/>
            <w:vAlign w:val="center"/>
          </w:tcPr>
          <w:p w14:paraId="59A324DD">
            <w:pPr>
              <w:keepNext w:val="0"/>
              <w:keepLines w:val="0"/>
              <w:suppressLineNumbers w:val="0"/>
              <w:snapToGrid/>
              <w:spacing w:before="0" w:beforeLines="0" w:beforeAutospacing="0" w:after="0" w:afterAutospacing="0" w:line="400" w:lineRule="exact"/>
              <w:ind w:left="0" w:right="0"/>
              <w:jc w:val="righ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271" w:type="dxa"/>
            <w:noWrap w:val="0"/>
            <w:vAlign w:val="center"/>
          </w:tcPr>
          <w:p w14:paraId="51964032">
            <w:pPr>
              <w:keepNext w:val="0"/>
              <w:keepLines w:val="0"/>
              <w:suppressLineNumbers w:val="0"/>
              <w:snapToGrid/>
              <w:spacing w:before="0" w:beforeLines="0" w:beforeAutospacing="0" w:after="0" w:afterAutospacing="0" w:line="400" w:lineRule="exact"/>
              <w:ind w:left="0" w:right="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投标供应商提供的合理化建议，由评标委员会横向比较打分。</w:t>
            </w:r>
            <w:r>
              <w:rPr>
                <w:rFonts w:hint="eastAsia" w:ascii="宋体" w:hAnsi="宋体" w:eastAsia="宋体" w:cs="宋体"/>
                <w:color w:val="auto"/>
                <w:sz w:val="21"/>
                <w:szCs w:val="21"/>
                <w:highlight w:val="none"/>
                <w:lang w:val="en-US" w:eastAsia="zh-CN"/>
              </w:rPr>
              <w:t>A档：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分；B档：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-3分；C档：3-0分。</w:t>
            </w:r>
          </w:p>
        </w:tc>
      </w:tr>
    </w:tbl>
    <w:p w14:paraId="0504F8B7">
      <w:pPr>
        <w:pStyle w:val="4"/>
        <w:spacing w:beforeLines="0" w:line="360" w:lineRule="auto"/>
        <w:ind w:left="0"/>
        <w:rPr>
          <w:rFonts w:hint="eastAsia" w:ascii="宋体" w:hAnsi="宋体" w:eastAsia="宋体" w:cs="宋体"/>
          <w:color w:val="auto"/>
          <w:highlight w:val="none"/>
        </w:rPr>
      </w:pPr>
    </w:p>
    <w:p w14:paraId="06A75D71">
      <w:pPr>
        <w:spacing w:before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商务（报价）评分（</w:t>
      </w:r>
      <w:r>
        <w:rPr>
          <w:rFonts w:hint="eastAsia" w:ascii="宋体" w:hAnsi="宋体" w:cs="宋体"/>
          <w:b/>
          <w:color w:val="auto"/>
          <w:szCs w:val="21"/>
          <w:highlight w:val="none"/>
          <w:lang w:val="en-US" w:eastAsia="zh-CN"/>
        </w:rPr>
        <w:t>50</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2471EB6E">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满足采购文件要求且投标价格最低的投标报价为评标基准价。</w:t>
      </w:r>
    </w:p>
    <w:p w14:paraId="49C991AA">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（1）有效投标供应商的投标综合单价报价等于评标基准价时其价格分（报价分，下同）为满分30分；</w:t>
      </w:r>
    </w:p>
    <w:p w14:paraId="006A18AB">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（2）其他投标供应商的价格分按以下公式计算：</w:t>
      </w:r>
    </w:p>
    <w:p w14:paraId="389240E5">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投标报价得分=（评标基准价/投标供应商投标综合单价报价）×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%×100（四舍五入，保留小数点后2位）</w:t>
      </w:r>
    </w:p>
    <w:p w14:paraId="2F02AF31">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（3）▲采购预算：人民币</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78</w:t>
      </w:r>
      <w:r>
        <w:rPr>
          <w:rFonts w:hint="eastAsia" w:ascii="宋体" w:hAnsi="宋体" w:eastAsia="宋体" w:cs="宋体"/>
          <w:color w:val="auto"/>
          <w:szCs w:val="21"/>
          <w:highlight w:val="none"/>
        </w:rPr>
        <w:t>万元整，综合最高单价限价</w:t>
      </w:r>
      <w:r>
        <w:rPr>
          <w:rFonts w:hint="eastAsia" w:ascii="宋体" w:hAnsi="宋体" w:cs="宋体"/>
          <w:color w:val="auto"/>
          <w:szCs w:val="21"/>
          <w:highlight w:val="none"/>
          <w:lang w:eastAsia="zh-CN"/>
        </w:rPr>
        <w:t>2.10</w:t>
      </w:r>
      <w:r>
        <w:rPr>
          <w:rFonts w:hint="eastAsia" w:ascii="宋体" w:hAnsi="宋体" w:eastAsia="宋体" w:cs="宋体"/>
          <w:color w:val="auto"/>
          <w:szCs w:val="21"/>
          <w:highlight w:val="none"/>
        </w:rPr>
        <w:t>元/</w:t>
      </w:r>
      <w:r>
        <w:rPr>
          <w:rFonts w:hint="eastAsia" w:ascii="宋体" w:hAnsi="宋体" w:cs="宋体"/>
          <w:color w:val="auto"/>
          <w:szCs w:val="21"/>
          <w:highlight w:val="none"/>
          <w:lang w:val="en-US" w:eastAsia="zh-CN"/>
        </w:rPr>
        <w:t>吨</w:t>
      </w:r>
      <w:r>
        <w:rPr>
          <w:rFonts w:hint="eastAsia" w:ascii="宋体" w:hAnsi="宋体" w:eastAsia="宋体" w:cs="宋体"/>
          <w:color w:val="auto"/>
          <w:szCs w:val="21"/>
          <w:highlight w:val="none"/>
        </w:rPr>
        <w:t>；投标供应商的报价超过了采购预算或最高综合单价限价，其投标文件按无效标处理。</w:t>
      </w:r>
    </w:p>
    <w:p w14:paraId="0129A6F7">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（4）▲投标供应商的报价均超过了采购预算，该标段应予废标，重新组织采购。</w:t>
      </w:r>
    </w:p>
    <w:p w14:paraId="6FC84E8F">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3.有效投标供应商的综合得分为技术资信分和商务（报价）分的总和。</w:t>
      </w:r>
    </w:p>
    <w:p w14:paraId="65612B1B">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依据法律、法规及采购文件有关规定在有效标中按投标供应商综合得分由高到低顺序排列，综合得分最高的前两名投标供应商依次作为该标段第一中标候选供应商、第二中标候选供应商向采购人推荐，并提交评标报告（得分相同，投标报价低的排序靠前；得分且投标报价相同的，由评委抽签决定顺序排列。）。</w:t>
      </w:r>
    </w:p>
    <w:p w14:paraId="27FBBAB0">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12" w:name="_Toc8342"/>
      <w:bookmarkStart w:id="213" w:name="_Toc16465"/>
      <w:r>
        <w:rPr>
          <w:rFonts w:hint="eastAsia" w:ascii="宋体" w:hAnsi="宋体" w:eastAsia="宋体" w:cs="宋体"/>
          <w:b/>
          <w:color w:val="auto"/>
          <w:szCs w:val="21"/>
          <w:highlight w:val="none"/>
        </w:rPr>
        <w:t>六、定标办法</w:t>
      </w:r>
    </w:p>
    <w:bookmarkEnd w:id="212"/>
    <w:bookmarkEnd w:id="213"/>
    <w:p w14:paraId="1BDB5E8F">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1.本次采购由评标委员会推荐中标候选供应商，采购人根据评标委员会的推荐结果最终确认一名中标供应商。</w:t>
      </w:r>
    </w:p>
    <w:p w14:paraId="74F1D876">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排名第一的中标候选供应商因自身原因放弃中标或因不可抗力不能履行合同的；或采购文件规定应当提交履约保证金而在规定的期限内未能提交的；或未能在规定时间内与采购人签订合同的；或经质疑，采购组织机构审查确认因排名第一的候选供应商在本次采购活动中存在违法违规行为或其他原因使质疑成立的，采购人可以视情况确定是否由排名第二的候选供应商为中标供应商，或重新组织采购。</w:t>
      </w:r>
    </w:p>
    <w:p w14:paraId="6A84ADFB">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14" w:name="_Toc250"/>
      <w:bookmarkStart w:id="215" w:name="_Toc25818"/>
      <w:r>
        <w:rPr>
          <w:rFonts w:hint="eastAsia" w:ascii="宋体" w:hAnsi="宋体" w:eastAsia="宋体" w:cs="宋体"/>
          <w:b/>
          <w:color w:val="auto"/>
          <w:szCs w:val="21"/>
          <w:highlight w:val="none"/>
        </w:rPr>
        <w:t>七、确定中标供应商</w:t>
      </w:r>
    </w:p>
    <w:bookmarkEnd w:id="214"/>
    <w:bookmarkEnd w:id="215"/>
    <w:p w14:paraId="097571A3">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经采购人确认后，中标结果在发布采购公告的网站上公告。中标公告的公示期结束后，在规定期限内无异议则采购代理机构将向中标供应商发出中标通知书。中标通知书对采购人和中标供应商具有同等法律效力。</w:t>
      </w:r>
    </w:p>
    <w:p w14:paraId="0CD58803">
      <w:pPr>
        <w:pStyle w:val="3"/>
        <w:numPr>
          <w:ilvl w:val="0"/>
          <w:numId w:val="0"/>
        </w:numPr>
        <w:tabs>
          <w:tab w:val="left" w:pos="0"/>
        </w:tabs>
        <w:adjustRightInd w:val="0"/>
        <w:snapToGrid/>
        <w:spacing w:beforeLines="0" w:after="0" w:line="360" w:lineRule="auto"/>
        <w:outlineLvl w:val="1"/>
        <w:rPr>
          <w:rFonts w:hint="eastAsia" w:ascii="宋体" w:hAnsi="宋体" w:eastAsia="宋体" w:cs="宋体"/>
          <w:b/>
          <w:color w:val="auto"/>
          <w:szCs w:val="21"/>
          <w:highlight w:val="none"/>
        </w:rPr>
      </w:pPr>
      <w:bookmarkStart w:id="216" w:name="_Toc12914"/>
      <w:bookmarkStart w:id="217" w:name="_Toc20520"/>
      <w:r>
        <w:rPr>
          <w:rFonts w:hint="eastAsia" w:ascii="宋体" w:hAnsi="宋体" w:eastAsia="宋体" w:cs="宋体"/>
          <w:b/>
          <w:color w:val="auto"/>
          <w:szCs w:val="21"/>
          <w:highlight w:val="none"/>
        </w:rPr>
        <w:t>八、投标供应商义务</w:t>
      </w:r>
      <w:bookmarkEnd w:id="216"/>
      <w:bookmarkEnd w:id="217"/>
    </w:p>
    <w:p w14:paraId="1BBED39F">
      <w:pPr>
        <w:pStyle w:val="3"/>
        <w:adjustRightInd w:val="0"/>
        <w:snapToGrid/>
        <w:spacing w:beforeLines="0" w:after="0" w:line="360" w:lineRule="auto"/>
        <w:ind w:left="0" w:leftChars="0" w:firstLine="420" w:firstLineChars="200"/>
        <w:rPr>
          <w:rFonts w:hint="eastAsia" w:ascii="宋体" w:hAnsi="宋体" w:eastAsia="宋体" w:cs="宋体"/>
          <w:color w:val="auto"/>
          <w:szCs w:val="21"/>
          <w:highlight w:val="none"/>
        </w:rPr>
      </w:pPr>
      <w:bookmarkStart w:id="218" w:name="_Toc26377"/>
      <w:bookmarkStart w:id="219" w:name="_Toc27890"/>
      <w:bookmarkStart w:id="220" w:name="_Toc11603"/>
      <w:bookmarkStart w:id="221" w:name="_Toc511308249"/>
      <w:r>
        <w:rPr>
          <w:rFonts w:hint="eastAsia" w:ascii="宋体" w:hAnsi="宋体" w:eastAsia="宋体" w:cs="宋体"/>
          <w:color w:val="auto"/>
          <w:szCs w:val="21"/>
          <w:highlight w:val="none"/>
        </w:rPr>
        <w:t>投标供应商应随时接受评标委员会的询标，解答包括有关的商务、技术等问题。评标结束，所有评标资料归档备查。</w:t>
      </w:r>
    </w:p>
    <w:bookmarkEnd w:id="200"/>
    <w:bookmarkEnd w:id="201"/>
    <w:bookmarkEnd w:id="218"/>
    <w:bookmarkEnd w:id="219"/>
    <w:bookmarkEnd w:id="220"/>
    <w:bookmarkEnd w:id="221"/>
    <w:p w14:paraId="7C61E41B">
      <w:pPr>
        <w:spacing w:beforeLines="0" w:line="360" w:lineRule="auto"/>
        <w:rPr>
          <w:rFonts w:hint="eastAsia" w:ascii="宋体" w:hAnsi="宋体" w:eastAsia="宋体" w:cs="宋体"/>
          <w:color w:val="auto"/>
          <w:highlight w:val="none"/>
        </w:rPr>
      </w:pPr>
    </w:p>
    <w:sectPr>
      <w:footerReference r:id="rId10" w:type="default"/>
      <w:pgSz w:w="11906" w:h="16838"/>
      <w:pgMar w:top="1134" w:right="1134" w:bottom="1134" w:left="1134" w:header="851" w:footer="850" w:gutter="284"/>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EE6F">
    <w:pPr>
      <w:pStyle w:val="30"/>
      <w:pBdr>
        <w:bottom w:val="single" w:color="auto" w:sz="4" w:space="1"/>
      </w:pBdr>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8B09">
    <w:pPr>
      <w:pStyle w:val="30"/>
      <w:framePr w:wrap="around" w:vAnchor="text" w:hAnchor="margin" w:xAlign="right" w:y="1"/>
      <w:rPr>
        <w:rStyle w:val="45"/>
      </w:rPr>
    </w:pPr>
    <w:r>
      <w:fldChar w:fldCharType="begin"/>
    </w:r>
    <w:r>
      <w:rPr>
        <w:rStyle w:val="45"/>
      </w:rPr>
      <w:instrText xml:space="preserve">PAGE  </w:instrText>
    </w:r>
    <w:r>
      <w:fldChar w:fldCharType="separate"/>
    </w:r>
    <w:r>
      <w:t xml:space="preserve"> </w:t>
    </w:r>
    <w:r>
      <w:fldChar w:fldCharType="end"/>
    </w:r>
  </w:p>
  <w:p w14:paraId="2A545F8B">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F15D">
    <w:pPr>
      <w:pStyle w:val="30"/>
      <w:pBdr>
        <w:top w:val="none" w:color="auto" w:sz="0" w:space="1"/>
        <w:left w:val="none" w:color="auto" w:sz="0" w:space="4"/>
        <w:bottom w:val="none" w:color="auto" w:sz="0" w:space="1"/>
        <w:right w:val="none" w:color="auto" w:sz="0" w:space="4"/>
        <w:between w:val="none" w:color="auto" w:sz="0" w:space="0"/>
      </w:pBdr>
      <w:jc w:val="center"/>
      <w:rPr>
        <w:rFonts w:hint="eastAsia"/>
      </w:rPr>
    </w:pPr>
    <w:r>
      <w:rPr>
        <w:rFonts w:hint="eastAsia"/>
      </w:rP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3981187C">
                          <w:pPr>
                            <w:pStyle w:val="30"/>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X6FvzAEAAJcDAAAOAAAAAAAAAAEAIAAAAB4BAABkcnMvZTJv&#10;RG9jLnhtbFBLBQYAAAAABgAGAFkBAABcBQAAAAA=&#10;">
              <v:fill on="f" focussize="0,0"/>
              <v:stroke on="f"/>
              <v:imagedata o:title=""/>
              <o:lock v:ext="edit" aspectratio="f"/>
              <v:textbox inset="0mm,0mm,0mm,0mm" style="mso-fit-shape-to-text:t;">
                <w:txbxContent>
                  <w:p w14:paraId="3981187C">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1BF9">
    <w:pPr>
      <w:pStyle w:val="30"/>
      <w:pBdr>
        <w:top w:val="none" w:color="auto" w:sz="0" w:space="1"/>
        <w:left w:val="none" w:color="auto" w:sz="0" w:space="4"/>
        <w:bottom w:val="none" w:color="auto" w:sz="0" w:space="1"/>
        <w:right w:val="none" w:color="auto" w:sz="0" w:space="4"/>
        <w:between w:val="none" w:color="auto" w:sz="0" w:space="0"/>
      </w:pBdr>
      <w:tabs>
        <w:tab w:val="left" w:pos="554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303B666E">
                          <w:pPr>
                            <w:pStyle w:val="30"/>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hEZJg80BAACXAwAADgAAAAAAAAABACAAAAAeAQAAZHJzL2Uy&#10;b0RvYy54bWxQSwUGAAAAAAYABgBZAQAAXQUAAAAA&#10;">
              <v:fill on="f" focussize="0,0"/>
              <v:stroke on="f"/>
              <v:imagedata o:title=""/>
              <o:lock v:ext="edit" aspectratio="f"/>
              <v:textbox inset="0mm,0mm,0mm,0mm" style="mso-fit-shape-to-text:t;">
                <w:txbxContent>
                  <w:p w14:paraId="303B666E">
                    <w:pPr>
                      <w:pStyle w:val="30"/>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ab/>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E098">
    <w:pPr>
      <w:pStyle w:val="30"/>
      <w:pBdr>
        <w:top w:val="none" w:color="auto" w:sz="0" w:space="1"/>
        <w:left w:val="none" w:color="auto" w:sz="0" w:space="4"/>
        <w:bottom w:val="none" w:color="auto" w:sz="0" w:space="1"/>
        <w:right w:val="none" w:color="auto" w:sz="0" w:space="4"/>
        <w:between w:val="none" w:color="auto" w:sz="0" w:space="0"/>
      </w:pBdr>
      <w:jc w:val="right"/>
      <w:rPr>
        <w:lang w:eastAsia="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7"/>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446D8753">
                          <w:pPr>
                            <w:pStyle w:val="30"/>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BSTD5uzAEAAJcDAAAOAAAAAAAAAAEAIAAAAB4BAABkcnMvZTJv&#10;RG9jLnhtbFBLBQYAAAAABgAGAFkBAABcBQAAAAA=&#10;">
              <v:fill on="f" focussize="0,0"/>
              <v:stroke on="f"/>
              <v:imagedata o:title=""/>
              <o:lock v:ext="edit" aspectratio="f"/>
              <v:textbox inset="0mm,0mm,0mm,0mm" style="mso-fit-shape-to-text:t;">
                <w:txbxContent>
                  <w:p w14:paraId="446D8753">
                    <w:pPr>
                      <w:pStyle w:val="30"/>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7454">
    <w:pPr>
      <w:pStyle w:val="31"/>
      <w:pBdr>
        <w:bottom w:val="single" w:color="auto" w:sz="4" w:space="0"/>
      </w:pBdr>
      <w:jc w:val="left"/>
    </w:pPr>
    <w:r>
      <w:rPr>
        <w:rFonts w:hint="eastAsia"/>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0C1D">
    <w:pPr>
      <w:pStyle w:val="31"/>
      <w:jc w:val="both"/>
      <w:rPr>
        <w:rFonts w:hint="eastAsia" w:ascii="宋体" w:hAnsi="宋体" w:cs="宋体"/>
        <w:sz w:val="20"/>
        <w:szCs w:val="20"/>
      </w:rPr>
    </w:pPr>
    <w:r>
      <w:rPr>
        <w:rFonts w:hint="eastAsia" w:ascii="宋体" w:hAnsi="宋体" w:cs="宋体"/>
        <w:sz w:val="20"/>
        <w:szCs w:val="20"/>
      </w:rPr>
      <w:t>温州市国有企业采购文件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4881">
    <w:pPr>
      <w:pStyle w:val="31"/>
      <w:pBdr>
        <w:bottom w:val="single" w:color="auto" w:sz="4" w:space="1"/>
      </w:pBdr>
      <w:jc w:val="left"/>
    </w:pPr>
    <w:r>
      <w:rPr>
        <w:rFonts w:hint="eastAsia"/>
      </w:rPr>
      <w:t>温州市国有企业采购文件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sz w:val="22"/>
        <w:szCs w:val="2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1193D78F"/>
    <w:multiLevelType w:val="singleLevel"/>
    <w:tmpl w:val="1193D78F"/>
    <w:lvl w:ilvl="0" w:tentative="0">
      <w:start w:val="1"/>
      <w:numFmt w:val="chineseCounting"/>
      <w:suff w:val="space"/>
      <w:lvlText w:val="第%1部分"/>
      <w:lvlJc w:val="left"/>
      <w:rPr>
        <w:rFonts w:hint="eastAsia"/>
      </w:rPr>
    </w:lvl>
  </w:abstractNum>
  <w:abstractNum w:abstractNumId="2">
    <w:nsid w:val="41E69521"/>
    <w:multiLevelType w:val="singleLevel"/>
    <w:tmpl w:val="41E69521"/>
    <w:lvl w:ilvl="0" w:tentative="0">
      <w:start w:val="1"/>
      <w:numFmt w:val="decimal"/>
      <w:suff w:val="nothing"/>
      <w:lvlText w:val="（%1）"/>
      <w:lvlJc w:val="left"/>
      <w:pPr>
        <w:tabs>
          <w:tab w:val="left"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RjYzNmMTBkNGE4ZTE2NDM4OGQ4NWIzNDNlOTIifQ=="/>
  </w:docVars>
  <w:rsids>
    <w:rsidRoot w:val="00172A27"/>
    <w:rsid w:val="00031647"/>
    <w:rsid w:val="0015152C"/>
    <w:rsid w:val="0015562D"/>
    <w:rsid w:val="003918AA"/>
    <w:rsid w:val="004E0863"/>
    <w:rsid w:val="00587D84"/>
    <w:rsid w:val="005A0FB6"/>
    <w:rsid w:val="005B4509"/>
    <w:rsid w:val="006D16A6"/>
    <w:rsid w:val="007104B5"/>
    <w:rsid w:val="007164C2"/>
    <w:rsid w:val="00787236"/>
    <w:rsid w:val="007C06F8"/>
    <w:rsid w:val="007C2CB6"/>
    <w:rsid w:val="00807794"/>
    <w:rsid w:val="0081135B"/>
    <w:rsid w:val="009646FB"/>
    <w:rsid w:val="00C31A0B"/>
    <w:rsid w:val="00C819B3"/>
    <w:rsid w:val="00D5063D"/>
    <w:rsid w:val="00DD28EC"/>
    <w:rsid w:val="00FB1B9E"/>
    <w:rsid w:val="0173347E"/>
    <w:rsid w:val="017716F4"/>
    <w:rsid w:val="019E5CF2"/>
    <w:rsid w:val="01B05B95"/>
    <w:rsid w:val="01F95436"/>
    <w:rsid w:val="02151639"/>
    <w:rsid w:val="026033F5"/>
    <w:rsid w:val="026B1259"/>
    <w:rsid w:val="02E6730D"/>
    <w:rsid w:val="032A72F2"/>
    <w:rsid w:val="03FD4132"/>
    <w:rsid w:val="04245B63"/>
    <w:rsid w:val="044E2BE0"/>
    <w:rsid w:val="04806B11"/>
    <w:rsid w:val="04C14905"/>
    <w:rsid w:val="04E470A0"/>
    <w:rsid w:val="04EB1CD5"/>
    <w:rsid w:val="0529701F"/>
    <w:rsid w:val="056D7096"/>
    <w:rsid w:val="05A21435"/>
    <w:rsid w:val="05A72977"/>
    <w:rsid w:val="05B72A07"/>
    <w:rsid w:val="05D87168"/>
    <w:rsid w:val="05EC72A9"/>
    <w:rsid w:val="05FD2B10"/>
    <w:rsid w:val="061614DB"/>
    <w:rsid w:val="0616772D"/>
    <w:rsid w:val="063F2B91"/>
    <w:rsid w:val="069C53CB"/>
    <w:rsid w:val="06AE7847"/>
    <w:rsid w:val="072478E2"/>
    <w:rsid w:val="07707311"/>
    <w:rsid w:val="08585D10"/>
    <w:rsid w:val="08BB636A"/>
    <w:rsid w:val="08D31906"/>
    <w:rsid w:val="094B5940"/>
    <w:rsid w:val="095F57C8"/>
    <w:rsid w:val="097A5E90"/>
    <w:rsid w:val="098B3F8E"/>
    <w:rsid w:val="099B68C7"/>
    <w:rsid w:val="09AC5CBE"/>
    <w:rsid w:val="0A0F2E11"/>
    <w:rsid w:val="0A326B00"/>
    <w:rsid w:val="0A9F4195"/>
    <w:rsid w:val="0AE27D69"/>
    <w:rsid w:val="0B185CF6"/>
    <w:rsid w:val="0B722021"/>
    <w:rsid w:val="0BE45BD8"/>
    <w:rsid w:val="0BEA7692"/>
    <w:rsid w:val="0C042D34"/>
    <w:rsid w:val="0C594818"/>
    <w:rsid w:val="0C656D19"/>
    <w:rsid w:val="0C6F7B97"/>
    <w:rsid w:val="0C7D0506"/>
    <w:rsid w:val="0C886EAB"/>
    <w:rsid w:val="0DA47D15"/>
    <w:rsid w:val="0DC7755F"/>
    <w:rsid w:val="0E06277D"/>
    <w:rsid w:val="0E2762B9"/>
    <w:rsid w:val="0E3746E5"/>
    <w:rsid w:val="0E5D5310"/>
    <w:rsid w:val="0E6354DA"/>
    <w:rsid w:val="0EEF7239"/>
    <w:rsid w:val="0F276507"/>
    <w:rsid w:val="0F786D63"/>
    <w:rsid w:val="0F7A2ADB"/>
    <w:rsid w:val="0FA20284"/>
    <w:rsid w:val="0FEA282E"/>
    <w:rsid w:val="10150DB4"/>
    <w:rsid w:val="10256846"/>
    <w:rsid w:val="10967DE9"/>
    <w:rsid w:val="109E0A4B"/>
    <w:rsid w:val="10C31666"/>
    <w:rsid w:val="10EA0134"/>
    <w:rsid w:val="112860BE"/>
    <w:rsid w:val="114C494B"/>
    <w:rsid w:val="11883E00"/>
    <w:rsid w:val="121A6983"/>
    <w:rsid w:val="12747CB6"/>
    <w:rsid w:val="12B61D3B"/>
    <w:rsid w:val="12EB3CF0"/>
    <w:rsid w:val="135D4BEE"/>
    <w:rsid w:val="13936762"/>
    <w:rsid w:val="13D12809"/>
    <w:rsid w:val="14116341"/>
    <w:rsid w:val="143E487A"/>
    <w:rsid w:val="14757D15"/>
    <w:rsid w:val="14A423A8"/>
    <w:rsid w:val="14AC3033"/>
    <w:rsid w:val="14C55842"/>
    <w:rsid w:val="14D964F6"/>
    <w:rsid w:val="150572EB"/>
    <w:rsid w:val="15192D96"/>
    <w:rsid w:val="1528122B"/>
    <w:rsid w:val="154E5689"/>
    <w:rsid w:val="157F0F6C"/>
    <w:rsid w:val="15A36C4E"/>
    <w:rsid w:val="15E50ECA"/>
    <w:rsid w:val="164E6A70"/>
    <w:rsid w:val="16577127"/>
    <w:rsid w:val="16695657"/>
    <w:rsid w:val="16816E45"/>
    <w:rsid w:val="16E63A09"/>
    <w:rsid w:val="16FB7D77"/>
    <w:rsid w:val="170768D4"/>
    <w:rsid w:val="17312B1A"/>
    <w:rsid w:val="182C2DE0"/>
    <w:rsid w:val="18570B42"/>
    <w:rsid w:val="18814EDA"/>
    <w:rsid w:val="18A706B9"/>
    <w:rsid w:val="18B00C7E"/>
    <w:rsid w:val="19037FE5"/>
    <w:rsid w:val="199B6790"/>
    <w:rsid w:val="19A826CD"/>
    <w:rsid w:val="19D20AB9"/>
    <w:rsid w:val="1A09162B"/>
    <w:rsid w:val="1A6C3968"/>
    <w:rsid w:val="1A700765"/>
    <w:rsid w:val="1ABF5F29"/>
    <w:rsid w:val="1AE10604"/>
    <w:rsid w:val="1B026FDC"/>
    <w:rsid w:val="1B724FC6"/>
    <w:rsid w:val="1B792056"/>
    <w:rsid w:val="1BEA548C"/>
    <w:rsid w:val="1BF6798D"/>
    <w:rsid w:val="1C0F3C96"/>
    <w:rsid w:val="1C1D13BE"/>
    <w:rsid w:val="1C3A1F70"/>
    <w:rsid w:val="1C8054A9"/>
    <w:rsid w:val="1C833C55"/>
    <w:rsid w:val="1CBB4733"/>
    <w:rsid w:val="1CD557F5"/>
    <w:rsid w:val="1CDC4DD5"/>
    <w:rsid w:val="1D271C18"/>
    <w:rsid w:val="1D5E1C8E"/>
    <w:rsid w:val="1DD27F86"/>
    <w:rsid w:val="1DE2466D"/>
    <w:rsid w:val="1DFE5F66"/>
    <w:rsid w:val="1E005888"/>
    <w:rsid w:val="1E1A1774"/>
    <w:rsid w:val="1E4C7947"/>
    <w:rsid w:val="1E537319"/>
    <w:rsid w:val="1E830748"/>
    <w:rsid w:val="1ECE699F"/>
    <w:rsid w:val="1ECF4D70"/>
    <w:rsid w:val="1F66307C"/>
    <w:rsid w:val="1F761DFB"/>
    <w:rsid w:val="1FB24FF4"/>
    <w:rsid w:val="201E5FC4"/>
    <w:rsid w:val="21014986"/>
    <w:rsid w:val="21231018"/>
    <w:rsid w:val="214B267C"/>
    <w:rsid w:val="218650CC"/>
    <w:rsid w:val="218872DA"/>
    <w:rsid w:val="21A67760"/>
    <w:rsid w:val="21D56297"/>
    <w:rsid w:val="21DC5877"/>
    <w:rsid w:val="21ED35E0"/>
    <w:rsid w:val="21ED538F"/>
    <w:rsid w:val="22237002"/>
    <w:rsid w:val="2265761B"/>
    <w:rsid w:val="227C3525"/>
    <w:rsid w:val="22A5175C"/>
    <w:rsid w:val="2346744C"/>
    <w:rsid w:val="23D61BA6"/>
    <w:rsid w:val="24053DA7"/>
    <w:rsid w:val="24ED28CD"/>
    <w:rsid w:val="25423C43"/>
    <w:rsid w:val="256C6F12"/>
    <w:rsid w:val="259A3101"/>
    <w:rsid w:val="25E35426"/>
    <w:rsid w:val="25E5572A"/>
    <w:rsid w:val="26192BF6"/>
    <w:rsid w:val="26384502"/>
    <w:rsid w:val="26AC3325"/>
    <w:rsid w:val="26FE003E"/>
    <w:rsid w:val="275F2824"/>
    <w:rsid w:val="27604855"/>
    <w:rsid w:val="278542BB"/>
    <w:rsid w:val="27EF6A41"/>
    <w:rsid w:val="281713B7"/>
    <w:rsid w:val="28481571"/>
    <w:rsid w:val="28517BC6"/>
    <w:rsid w:val="288053A3"/>
    <w:rsid w:val="28846321"/>
    <w:rsid w:val="2886653D"/>
    <w:rsid w:val="28D15A0A"/>
    <w:rsid w:val="28E50E43"/>
    <w:rsid w:val="29070BB7"/>
    <w:rsid w:val="293715E5"/>
    <w:rsid w:val="296E14AB"/>
    <w:rsid w:val="29905C75"/>
    <w:rsid w:val="29DB4666"/>
    <w:rsid w:val="2A2C0A1E"/>
    <w:rsid w:val="2A336250"/>
    <w:rsid w:val="2A5D6EB4"/>
    <w:rsid w:val="2A7558FD"/>
    <w:rsid w:val="2A93690A"/>
    <w:rsid w:val="2AF94DA4"/>
    <w:rsid w:val="2AFE7E56"/>
    <w:rsid w:val="2B8C6C1E"/>
    <w:rsid w:val="2B9A6A8E"/>
    <w:rsid w:val="2BD0078F"/>
    <w:rsid w:val="2BEF7F55"/>
    <w:rsid w:val="2C043A01"/>
    <w:rsid w:val="2C072B97"/>
    <w:rsid w:val="2C08048D"/>
    <w:rsid w:val="2C091017"/>
    <w:rsid w:val="2C0E487F"/>
    <w:rsid w:val="2C5D5698"/>
    <w:rsid w:val="2C66290D"/>
    <w:rsid w:val="2C884632"/>
    <w:rsid w:val="2CB95E54"/>
    <w:rsid w:val="2CEF4872"/>
    <w:rsid w:val="2CF27CFD"/>
    <w:rsid w:val="2D1A6E14"/>
    <w:rsid w:val="2D1C5BE0"/>
    <w:rsid w:val="2D48136A"/>
    <w:rsid w:val="2D6D7CCB"/>
    <w:rsid w:val="2DE02293"/>
    <w:rsid w:val="2E4B3B69"/>
    <w:rsid w:val="2E5A3DAC"/>
    <w:rsid w:val="2E7110F5"/>
    <w:rsid w:val="2E7D74D4"/>
    <w:rsid w:val="2EA90D75"/>
    <w:rsid w:val="2EEB70FA"/>
    <w:rsid w:val="2F662C24"/>
    <w:rsid w:val="2F68495F"/>
    <w:rsid w:val="2FAF6379"/>
    <w:rsid w:val="2FD06927"/>
    <w:rsid w:val="2FF26266"/>
    <w:rsid w:val="301D1535"/>
    <w:rsid w:val="302E0DD8"/>
    <w:rsid w:val="30321618"/>
    <w:rsid w:val="303926AF"/>
    <w:rsid w:val="30446AC1"/>
    <w:rsid w:val="305228A5"/>
    <w:rsid w:val="30766E97"/>
    <w:rsid w:val="30B161D0"/>
    <w:rsid w:val="30BD0622"/>
    <w:rsid w:val="310F618F"/>
    <w:rsid w:val="311E5564"/>
    <w:rsid w:val="319F6C38"/>
    <w:rsid w:val="31C96DB0"/>
    <w:rsid w:val="31D125D7"/>
    <w:rsid w:val="322C5A5F"/>
    <w:rsid w:val="32432DA9"/>
    <w:rsid w:val="32821B23"/>
    <w:rsid w:val="329873C3"/>
    <w:rsid w:val="32E225C2"/>
    <w:rsid w:val="3310712F"/>
    <w:rsid w:val="33354DE7"/>
    <w:rsid w:val="33A203CD"/>
    <w:rsid w:val="33C00B55"/>
    <w:rsid w:val="33D40484"/>
    <w:rsid w:val="33D75E9F"/>
    <w:rsid w:val="33E5680D"/>
    <w:rsid w:val="347F27BE"/>
    <w:rsid w:val="34A42225"/>
    <w:rsid w:val="34B34216"/>
    <w:rsid w:val="34CE2DFE"/>
    <w:rsid w:val="34F12F90"/>
    <w:rsid w:val="34F37F81"/>
    <w:rsid w:val="35074561"/>
    <w:rsid w:val="35352E7D"/>
    <w:rsid w:val="353752C8"/>
    <w:rsid w:val="353C245D"/>
    <w:rsid w:val="35436C87"/>
    <w:rsid w:val="35500B6D"/>
    <w:rsid w:val="35527ED3"/>
    <w:rsid w:val="356E638F"/>
    <w:rsid w:val="357A3318"/>
    <w:rsid w:val="357D781D"/>
    <w:rsid w:val="359058E2"/>
    <w:rsid w:val="35D00DF7"/>
    <w:rsid w:val="360A7106"/>
    <w:rsid w:val="36421CF5"/>
    <w:rsid w:val="365F2124"/>
    <w:rsid w:val="368F43ED"/>
    <w:rsid w:val="36EA2E0A"/>
    <w:rsid w:val="373553B6"/>
    <w:rsid w:val="374319DB"/>
    <w:rsid w:val="37441A9D"/>
    <w:rsid w:val="37B54749"/>
    <w:rsid w:val="37F45271"/>
    <w:rsid w:val="38284F1B"/>
    <w:rsid w:val="384D672F"/>
    <w:rsid w:val="385950D4"/>
    <w:rsid w:val="38991974"/>
    <w:rsid w:val="38DE55D9"/>
    <w:rsid w:val="39284554"/>
    <w:rsid w:val="39331DC9"/>
    <w:rsid w:val="39912005"/>
    <w:rsid w:val="39B747A8"/>
    <w:rsid w:val="3A257964"/>
    <w:rsid w:val="3A296D28"/>
    <w:rsid w:val="3A4F2C33"/>
    <w:rsid w:val="3A79380C"/>
    <w:rsid w:val="3A8A3A3D"/>
    <w:rsid w:val="3AA27C51"/>
    <w:rsid w:val="3B20637D"/>
    <w:rsid w:val="3B2C4E1E"/>
    <w:rsid w:val="3B8561E0"/>
    <w:rsid w:val="3B983780"/>
    <w:rsid w:val="3BA0301A"/>
    <w:rsid w:val="3BBF4851"/>
    <w:rsid w:val="3BD056AD"/>
    <w:rsid w:val="3BE04476"/>
    <w:rsid w:val="3C101F4E"/>
    <w:rsid w:val="3C4F6F1A"/>
    <w:rsid w:val="3C566B00"/>
    <w:rsid w:val="3C6D68AF"/>
    <w:rsid w:val="3CA07FB4"/>
    <w:rsid w:val="3D1837B0"/>
    <w:rsid w:val="3D536596"/>
    <w:rsid w:val="3D54230E"/>
    <w:rsid w:val="3D842BF3"/>
    <w:rsid w:val="3E1C335D"/>
    <w:rsid w:val="3EA80B63"/>
    <w:rsid w:val="3F4343E8"/>
    <w:rsid w:val="3F544847"/>
    <w:rsid w:val="3F8035D5"/>
    <w:rsid w:val="3F8073EA"/>
    <w:rsid w:val="3FD9024B"/>
    <w:rsid w:val="40B64B24"/>
    <w:rsid w:val="410C362B"/>
    <w:rsid w:val="411B386E"/>
    <w:rsid w:val="411B561D"/>
    <w:rsid w:val="415B7B1F"/>
    <w:rsid w:val="41990A1F"/>
    <w:rsid w:val="419E624E"/>
    <w:rsid w:val="41E9396D"/>
    <w:rsid w:val="422B7AE1"/>
    <w:rsid w:val="429733C9"/>
    <w:rsid w:val="43580492"/>
    <w:rsid w:val="43B14016"/>
    <w:rsid w:val="43E3619A"/>
    <w:rsid w:val="446B0669"/>
    <w:rsid w:val="44727C49"/>
    <w:rsid w:val="447D65EE"/>
    <w:rsid w:val="44CB1108"/>
    <w:rsid w:val="44E346A3"/>
    <w:rsid w:val="44EE129A"/>
    <w:rsid w:val="45044754"/>
    <w:rsid w:val="45442C68"/>
    <w:rsid w:val="45580DB1"/>
    <w:rsid w:val="456357E4"/>
    <w:rsid w:val="456922EF"/>
    <w:rsid w:val="45C06792"/>
    <w:rsid w:val="460F3276"/>
    <w:rsid w:val="46281653"/>
    <w:rsid w:val="46513A2C"/>
    <w:rsid w:val="46535859"/>
    <w:rsid w:val="465F5BA0"/>
    <w:rsid w:val="4662410F"/>
    <w:rsid w:val="467018F6"/>
    <w:rsid w:val="46961B5B"/>
    <w:rsid w:val="46F96400"/>
    <w:rsid w:val="46FF32EA"/>
    <w:rsid w:val="474B3CD4"/>
    <w:rsid w:val="477041E8"/>
    <w:rsid w:val="479223B1"/>
    <w:rsid w:val="47CA56A6"/>
    <w:rsid w:val="47DD34E4"/>
    <w:rsid w:val="48DF5182"/>
    <w:rsid w:val="4929464F"/>
    <w:rsid w:val="492F0847"/>
    <w:rsid w:val="497F6A07"/>
    <w:rsid w:val="49ED1B20"/>
    <w:rsid w:val="4A1C2405"/>
    <w:rsid w:val="4A54394D"/>
    <w:rsid w:val="4A6C00B9"/>
    <w:rsid w:val="4AC05487"/>
    <w:rsid w:val="4AE7656F"/>
    <w:rsid w:val="4AF55130"/>
    <w:rsid w:val="4B280858"/>
    <w:rsid w:val="4B2C6678"/>
    <w:rsid w:val="4B425E94"/>
    <w:rsid w:val="4BB54638"/>
    <w:rsid w:val="4BC4382E"/>
    <w:rsid w:val="4BC52D55"/>
    <w:rsid w:val="4BE8259F"/>
    <w:rsid w:val="4C1635B0"/>
    <w:rsid w:val="4C1930A0"/>
    <w:rsid w:val="4C280293"/>
    <w:rsid w:val="4C371778"/>
    <w:rsid w:val="4CA010CC"/>
    <w:rsid w:val="4CAA1F4A"/>
    <w:rsid w:val="4CF5766A"/>
    <w:rsid w:val="4D3F2693"/>
    <w:rsid w:val="4D447CA9"/>
    <w:rsid w:val="4D754306"/>
    <w:rsid w:val="4DB84D64"/>
    <w:rsid w:val="4DCA1A88"/>
    <w:rsid w:val="4E4D58EA"/>
    <w:rsid w:val="4EC92B5C"/>
    <w:rsid w:val="4F53436C"/>
    <w:rsid w:val="4FA17831"/>
    <w:rsid w:val="4FCA3ACE"/>
    <w:rsid w:val="4FDE2637"/>
    <w:rsid w:val="50081462"/>
    <w:rsid w:val="502426BC"/>
    <w:rsid w:val="50285660"/>
    <w:rsid w:val="50891702"/>
    <w:rsid w:val="50C3182D"/>
    <w:rsid w:val="50EC3E2B"/>
    <w:rsid w:val="51916917"/>
    <w:rsid w:val="51E22200"/>
    <w:rsid w:val="51FF4AE6"/>
    <w:rsid w:val="5207445B"/>
    <w:rsid w:val="521F2241"/>
    <w:rsid w:val="526A01B2"/>
    <w:rsid w:val="527728CF"/>
    <w:rsid w:val="527B6C5E"/>
    <w:rsid w:val="529671F9"/>
    <w:rsid w:val="52A13B0A"/>
    <w:rsid w:val="52ED493F"/>
    <w:rsid w:val="532068B5"/>
    <w:rsid w:val="533F5956"/>
    <w:rsid w:val="53642E53"/>
    <w:rsid w:val="53654C41"/>
    <w:rsid w:val="536B13F7"/>
    <w:rsid w:val="53AB0A82"/>
    <w:rsid w:val="53D855EF"/>
    <w:rsid w:val="540202F6"/>
    <w:rsid w:val="541A1764"/>
    <w:rsid w:val="541A5C08"/>
    <w:rsid w:val="54A33041"/>
    <w:rsid w:val="54AC4D97"/>
    <w:rsid w:val="54BB2F47"/>
    <w:rsid w:val="54E502EA"/>
    <w:rsid w:val="550D3076"/>
    <w:rsid w:val="554A4DF2"/>
    <w:rsid w:val="555A6A0D"/>
    <w:rsid w:val="557650C0"/>
    <w:rsid w:val="55B31E70"/>
    <w:rsid w:val="562F6D7D"/>
    <w:rsid w:val="56674A08"/>
    <w:rsid w:val="56930749"/>
    <w:rsid w:val="570861EB"/>
    <w:rsid w:val="574B23CF"/>
    <w:rsid w:val="57925AB5"/>
    <w:rsid w:val="579F0BC5"/>
    <w:rsid w:val="57E57349"/>
    <w:rsid w:val="57FD5624"/>
    <w:rsid w:val="586E0DD7"/>
    <w:rsid w:val="58847AF3"/>
    <w:rsid w:val="58AB1524"/>
    <w:rsid w:val="58CD4FF7"/>
    <w:rsid w:val="58DC280B"/>
    <w:rsid w:val="590454E8"/>
    <w:rsid w:val="59EF0BE9"/>
    <w:rsid w:val="59F94B7C"/>
    <w:rsid w:val="5A0507C0"/>
    <w:rsid w:val="5A506D7F"/>
    <w:rsid w:val="5A53303E"/>
    <w:rsid w:val="5A70032F"/>
    <w:rsid w:val="5A7F4A16"/>
    <w:rsid w:val="5A81455A"/>
    <w:rsid w:val="5B0F11F3"/>
    <w:rsid w:val="5BAB5397"/>
    <w:rsid w:val="5BB62543"/>
    <w:rsid w:val="5C180C7F"/>
    <w:rsid w:val="5C191C48"/>
    <w:rsid w:val="5C4A1307"/>
    <w:rsid w:val="5C682F21"/>
    <w:rsid w:val="5C814A76"/>
    <w:rsid w:val="5CA1215A"/>
    <w:rsid w:val="5CF1797C"/>
    <w:rsid w:val="5D262A06"/>
    <w:rsid w:val="5D651636"/>
    <w:rsid w:val="5DB93D9B"/>
    <w:rsid w:val="5DBE5340"/>
    <w:rsid w:val="5DC163C4"/>
    <w:rsid w:val="5DD07337"/>
    <w:rsid w:val="5DEC23C3"/>
    <w:rsid w:val="5E602469"/>
    <w:rsid w:val="5E736001"/>
    <w:rsid w:val="5E95783A"/>
    <w:rsid w:val="5EC46E9C"/>
    <w:rsid w:val="5EC56770"/>
    <w:rsid w:val="5EE920E0"/>
    <w:rsid w:val="5F0E45BB"/>
    <w:rsid w:val="5F116F6F"/>
    <w:rsid w:val="5F327536"/>
    <w:rsid w:val="5F68257C"/>
    <w:rsid w:val="5F7618FA"/>
    <w:rsid w:val="5F817E72"/>
    <w:rsid w:val="5FB567E4"/>
    <w:rsid w:val="5FC829BC"/>
    <w:rsid w:val="5FC922EB"/>
    <w:rsid w:val="5FF7215C"/>
    <w:rsid w:val="60015AD7"/>
    <w:rsid w:val="604858AA"/>
    <w:rsid w:val="606423E2"/>
    <w:rsid w:val="608265B2"/>
    <w:rsid w:val="60B82BAE"/>
    <w:rsid w:val="60E750C3"/>
    <w:rsid w:val="615A06E5"/>
    <w:rsid w:val="616200C3"/>
    <w:rsid w:val="619D39D4"/>
    <w:rsid w:val="61C3168D"/>
    <w:rsid w:val="61C6707F"/>
    <w:rsid w:val="61F53810"/>
    <w:rsid w:val="61FC06FB"/>
    <w:rsid w:val="620307DC"/>
    <w:rsid w:val="620E6347"/>
    <w:rsid w:val="6230398F"/>
    <w:rsid w:val="627604AD"/>
    <w:rsid w:val="62F51D1A"/>
    <w:rsid w:val="630C09CE"/>
    <w:rsid w:val="635314A0"/>
    <w:rsid w:val="63A50E63"/>
    <w:rsid w:val="64634A61"/>
    <w:rsid w:val="646507D9"/>
    <w:rsid w:val="647452F7"/>
    <w:rsid w:val="64805649"/>
    <w:rsid w:val="648F1CFA"/>
    <w:rsid w:val="64AC465A"/>
    <w:rsid w:val="64B11C70"/>
    <w:rsid w:val="65085608"/>
    <w:rsid w:val="653A078B"/>
    <w:rsid w:val="653B3C30"/>
    <w:rsid w:val="654051B0"/>
    <w:rsid w:val="656E190F"/>
    <w:rsid w:val="65766C11"/>
    <w:rsid w:val="65825875"/>
    <w:rsid w:val="65B64408"/>
    <w:rsid w:val="65B732B6"/>
    <w:rsid w:val="663A3EE7"/>
    <w:rsid w:val="665A00E6"/>
    <w:rsid w:val="665A1E94"/>
    <w:rsid w:val="669E4476"/>
    <w:rsid w:val="66A7157D"/>
    <w:rsid w:val="66AE1D16"/>
    <w:rsid w:val="66D841C7"/>
    <w:rsid w:val="675863D3"/>
    <w:rsid w:val="677F5836"/>
    <w:rsid w:val="678C42CF"/>
    <w:rsid w:val="67C779FD"/>
    <w:rsid w:val="67EE6D37"/>
    <w:rsid w:val="67F0485E"/>
    <w:rsid w:val="67F65BEC"/>
    <w:rsid w:val="682409AB"/>
    <w:rsid w:val="689D59C0"/>
    <w:rsid w:val="68B00491"/>
    <w:rsid w:val="68B63CF9"/>
    <w:rsid w:val="68F71C1C"/>
    <w:rsid w:val="68FD36D6"/>
    <w:rsid w:val="69216C99"/>
    <w:rsid w:val="69686D58"/>
    <w:rsid w:val="6A0E1913"/>
    <w:rsid w:val="6A6D488B"/>
    <w:rsid w:val="6A7E25F5"/>
    <w:rsid w:val="6AD77F57"/>
    <w:rsid w:val="6AE6019A"/>
    <w:rsid w:val="6B234F4A"/>
    <w:rsid w:val="6B421874"/>
    <w:rsid w:val="6B480E55"/>
    <w:rsid w:val="6B673091"/>
    <w:rsid w:val="6BC8655A"/>
    <w:rsid w:val="6BDE55F4"/>
    <w:rsid w:val="6BEB1F0C"/>
    <w:rsid w:val="6C2D6CB2"/>
    <w:rsid w:val="6C3B104D"/>
    <w:rsid w:val="6C8A1D2F"/>
    <w:rsid w:val="6CA83959"/>
    <w:rsid w:val="6CEC139B"/>
    <w:rsid w:val="6D162EC0"/>
    <w:rsid w:val="6D2F7BD6"/>
    <w:rsid w:val="6D47018C"/>
    <w:rsid w:val="6D6650BB"/>
    <w:rsid w:val="6DBA5A94"/>
    <w:rsid w:val="6DCA3DA3"/>
    <w:rsid w:val="6DE141EA"/>
    <w:rsid w:val="6E080427"/>
    <w:rsid w:val="6E2E60E0"/>
    <w:rsid w:val="6E4F6056"/>
    <w:rsid w:val="6E775CD9"/>
    <w:rsid w:val="6EB02F99"/>
    <w:rsid w:val="6EBF1B48"/>
    <w:rsid w:val="6F2474E3"/>
    <w:rsid w:val="6F5A5897"/>
    <w:rsid w:val="6F685621"/>
    <w:rsid w:val="70645DE9"/>
    <w:rsid w:val="70741DA4"/>
    <w:rsid w:val="70D311C0"/>
    <w:rsid w:val="70F95501"/>
    <w:rsid w:val="71036C4C"/>
    <w:rsid w:val="711C3D8D"/>
    <w:rsid w:val="713E488C"/>
    <w:rsid w:val="71447F59"/>
    <w:rsid w:val="71463740"/>
    <w:rsid w:val="71836D0D"/>
    <w:rsid w:val="723D2D95"/>
    <w:rsid w:val="723F61FD"/>
    <w:rsid w:val="727F515C"/>
    <w:rsid w:val="72F90F81"/>
    <w:rsid w:val="73832A2A"/>
    <w:rsid w:val="739279C1"/>
    <w:rsid w:val="73B57981"/>
    <w:rsid w:val="744907E0"/>
    <w:rsid w:val="749F1A73"/>
    <w:rsid w:val="74BF1934"/>
    <w:rsid w:val="74D15A17"/>
    <w:rsid w:val="755A3C5E"/>
    <w:rsid w:val="75610B49"/>
    <w:rsid w:val="757E794D"/>
    <w:rsid w:val="75937C94"/>
    <w:rsid w:val="75C17839"/>
    <w:rsid w:val="76225B14"/>
    <w:rsid w:val="76AC673B"/>
    <w:rsid w:val="76D4359C"/>
    <w:rsid w:val="76E25CB9"/>
    <w:rsid w:val="77355E25"/>
    <w:rsid w:val="77882D05"/>
    <w:rsid w:val="77A80CB1"/>
    <w:rsid w:val="77AF64E3"/>
    <w:rsid w:val="77DA2E34"/>
    <w:rsid w:val="77FC0FFD"/>
    <w:rsid w:val="785E5813"/>
    <w:rsid w:val="787129BC"/>
    <w:rsid w:val="789E3E62"/>
    <w:rsid w:val="78BC253A"/>
    <w:rsid w:val="79080CD5"/>
    <w:rsid w:val="7924080B"/>
    <w:rsid w:val="79397A68"/>
    <w:rsid w:val="79A16D4A"/>
    <w:rsid w:val="79E24222"/>
    <w:rsid w:val="79F92575"/>
    <w:rsid w:val="7A0C212D"/>
    <w:rsid w:val="7A170370"/>
    <w:rsid w:val="7A3727C0"/>
    <w:rsid w:val="7A3A0597"/>
    <w:rsid w:val="7A6F5AB6"/>
    <w:rsid w:val="7B0A5D72"/>
    <w:rsid w:val="7BCE4A5E"/>
    <w:rsid w:val="7BD04C7A"/>
    <w:rsid w:val="7C492337"/>
    <w:rsid w:val="7C582040"/>
    <w:rsid w:val="7C993579"/>
    <w:rsid w:val="7CBE516E"/>
    <w:rsid w:val="7CD24A22"/>
    <w:rsid w:val="7D250207"/>
    <w:rsid w:val="7D290623"/>
    <w:rsid w:val="7D8950E1"/>
    <w:rsid w:val="7DFC50DA"/>
    <w:rsid w:val="7E311300"/>
    <w:rsid w:val="7E315C19"/>
    <w:rsid w:val="7E553215"/>
    <w:rsid w:val="7E94162E"/>
    <w:rsid w:val="7EB919F5"/>
    <w:rsid w:val="7EEC75FD"/>
    <w:rsid w:val="7F19385A"/>
    <w:rsid w:val="7F3B68AE"/>
    <w:rsid w:val="7F6C4CBA"/>
    <w:rsid w:val="7F7B6CAB"/>
    <w:rsid w:val="7F8042C1"/>
    <w:rsid w:val="7F920D11"/>
    <w:rsid w:val="7F985AAF"/>
    <w:rsid w:val="7FDD5BB8"/>
    <w:rsid w:val="7FE047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widowControl w:val="0"/>
      <w:tabs>
        <w:tab w:val="left" w:pos="840"/>
      </w:tabs>
      <w:adjustRightInd w:val="0"/>
      <w:snapToGrid w:val="0"/>
      <w:spacing w:line="360" w:lineRule="auto"/>
      <w:outlineLvl w:val="0"/>
    </w:pPr>
    <w:rPr>
      <w:rFonts w:ascii="宋体"/>
      <w:b/>
      <w:kern w:val="44"/>
      <w:sz w:val="24"/>
      <w:szCs w:val="20"/>
    </w:rPr>
  </w:style>
  <w:style w:type="paragraph" w:styleId="6">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paragraph" w:styleId="7">
    <w:name w:val="heading 3"/>
    <w:basedOn w:val="1"/>
    <w:next w:val="1"/>
    <w:qFormat/>
    <w:uiPriority w:val="0"/>
    <w:pPr>
      <w:keepNext/>
      <w:keepLines/>
      <w:widowControl w:val="0"/>
      <w:spacing w:before="260" w:after="260" w:line="412" w:lineRule="auto"/>
      <w:outlineLvl w:val="2"/>
    </w:pPr>
    <w:rPr>
      <w:rFonts w:eastAsia="宋体"/>
      <w:b/>
      <w:bCs/>
      <w:kern w:val="2"/>
      <w:sz w:val="32"/>
      <w:szCs w:val="32"/>
      <w:lang w:val="en-US" w:eastAsia="zh-CN" w:bidi="ar-SA"/>
    </w:rPr>
  </w:style>
  <w:style w:type="paragraph" w:styleId="8">
    <w:name w:val="heading 4"/>
    <w:basedOn w:val="1"/>
    <w:next w:val="1"/>
    <w:qFormat/>
    <w:uiPriority w:val="0"/>
    <w:pPr>
      <w:keepNext/>
      <w:keepLines/>
      <w:widowControl w:val="0"/>
      <w:tabs>
        <w:tab w:val="left" w:pos="864"/>
      </w:tabs>
      <w:ind w:left="864" w:hanging="864"/>
      <w:outlineLvl w:val="3"/>
    </w:pPr>
    <w:rPr>
      <w:rFonts w:ascii="Arial" w:hAnsi="Arial" w:eastAsia="Times New Roman"/>
      <w:b/>
      <w:bCs/>
      <w:sz w:val="28"/>
      <w:szCs w:val="28"/>
    </w:rPr>
  </w:style>
  <w:style w:type="paragraph" w:styleId="9">
    <w:name w:val="heading 5"/>
    <w:basedOn w:val="1"/>
    <w:next w:val="1"/>
    <w:qFormat/>
    <w:uiPriority w:val="0"/>
    <w:pPr>
      <w:keepNext/>
      <w:keepLines/>
      <w:widowControl w:val="0"/>
      <w:tabs>
        <w:tab w:val="left" w:pos="567"/>
      </w:tabs>
      <w:ind w:left="567" w:hanging="567"/>
      <w:outlineLvl w:val="4"/>
    </w:pPr>
    <w:rPr>
      <w:b/>
      <w:bCs/>
      <w:sz w:val="28"/>
      <w:szCs w:val="28"/>
    </w:rPr>
  </w:style>
  <w:style w:type="paragraph" w:styleId="10">
    <w:name w:val="heading 6"/>
    <w:basedOn w:val="1"/>
    <w:next w:val="1"/>
    <w:qFormat/>
    <w:uiPriority w:val="0"/>
    <w:pPr>
      <w:keepNext/>
      <w:keepLines/>
      <w:widowControl w:val="0"/>
      <w:tabs>
        <w:tab w:val="left" w:pos="851"/>
      </w:tabs>
      <w:spacing w:before="240" w:after="64" w:line="319" w:lineRule="auto"/>
      <w:ind w:left="851" w:hanging="851"/>
      <w:outlineLvl w:val="5"/>
    </w:pPr>
    <w:rPr>
      <w:rFonts w:ascii="Arial" w:hAnsi="Arial" w:eastAsia="黑体"/>
      <w:b/>
      <w:bCs/>
      <w:sz w:val="24"/>
    </w:rPr>
  </w:style>
  <w:style w:type="paragraph" w:styleId="11">
    <w:name w:val="heading 7"/>
    <w:basedOn w:val="1"/>
    <w:next w:val="1"/>
    <w:qFormat/>
    <w:uiPriority w:val="0"/>
    <w:pPr>
      <w:keepNext/>
      <w:keepLines/>
      <w:widowControl w:val="0"/>
      <w:tabs>
        <w:tab w:val="left" w:pos="1296"/>
      </w:tabs>
      <w:spacing w:before="240" w:after="64" w:line="319" w:lineRule="auto"/>
      <w:ind w:left="1296" w:hanging="1296"/>
      <w:outlineLvl w:val="6"/>
    </w:pPr>
    <w:rPr>
      <w:rFonts w:eastAsia="仿宋_GB2312"/>
      <w:b/>
      <w:bCs/>
      <w:sz w:val="24"/>
    </w:rPr>
  </w:style>
  <w:style w:type="paragraph" w:styleId="12">
    <w:name w:val="heading 8"/>
    <w:basedOn w:val="1"/>
    <w:next w:val="1"/>
    <w:qFormat/>
    <w:uiPriority w:val="0"/>
    <w:pPr>
      <w:keepNext/>
      <w:keepLines/>
      <w:widowControl w:val="0"/>
      <w:tabs>
        <w:tab w:val="left" w:pos="1440"/>
      </w:tabs>
      <w:spacing w:before="240" w:after="64" w:line="319" w:lineRule="auto"/>
      <w:ind w:left="1440" w:hanging="1440"/>
      <w:outlineLvl w:val="7"/>
    </w:pPr>
    <w:rPr>
      <w:rFonts w:ascii="Arial" w:hAnsi="Arial" w:eastAsia="黑体"/>
      <w:sz w:val="24"/>
    </w:rPr>
  </w:style>
  <w:style w:type="paragraph" w:styleId="13">
    <w:name w:val="heading 9"/>
    <w:basedOn w:val="1"/>
    <w:next w:val="1"/>
    <w:qFormat/>
    <w:uiPriority w:val="0"/>
    <w:pPr>
      <w:keepNext/>
      <w:keepLines/>
      <w:widowControl w:val="0"/>
      <w:tabs>
        <w:tab w:val="left" w:pos="1584"/>
      </w:tabs>
      <w:spacing w:before="240" w:after="64" w:line="319" w:lineRule="auto"/>
      <w:ind w:left="1584" w:hanging="1584"/>
      <w:outlineLvl w:val="8"/>
    </w:pPr>
    <w:rPr>
      <w:rFonts w:ascii="Arial" w:hAnsi="Arial" w:eastAsia="黑体"/>
      <w:szCs w:val="21"/>
    </w:rPr>
  </w:style>
  <w:style w:type="character" w:default="1" w:styleId="43">
    <w:name w:val="Default Paragraph Font"/>
    <w:qFormat/>
    <w:uiPriority w:val="0"/>
  </w:style>
  <w:style w:type="table" w:default="1" w:styleId="4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14">
    <w:name w:val="toc 7"/>
    <w:basedOn w:val="1"/>
    <w:next w:val="1"/>
    <w:qFormat/>
    <w:uiPriority w:val="0"/>
    <w:pPr>
      <w:ind w:left="1260"/>
      <w:jc w:val="left"/>
    </w:pPr>
    <w:rPr>
      <w:sz w:val="18"/>
      <w:szCs w:val="18"/>
    </w:rPr>
  </w:style>
  <w:style w:type="paragraph" w:styleId="15">
    <w:name w:val="Normal Indent"/>
    <w:basedOn w:val="1"/>
    <w:qFormat/>
    <w:uiPriority w:val="0"/>
    <w:pPr>
      <w:adjustRightInd w:val="0"/>
      <w:spacing w:line="312" w:lineRule="atLeast"/>
      <w:ind w:firstLine="420"/>
      <w:textAlignment w:val="baseline"/>
    </w:pPr>
    <w:rPr>
      <w:rFonts w:eastAsia="宋体"/>
      <w:sz w:val="21"/>
      <w:lang w:val="en-US" w:eastAsia="zh-CN" w:bidi="ar-SA"/>
    </w:rPr>
  </w:style>
  <w:style w:type="paragraph" w:styleId="16">
    <w:name w:val="List Bullet"/>
    <w:qFormat/>
    <w:uiPriority w:val="0"/>
    <w:pPr>
      <w:tabs>
        <w:tab w:val="left" w:pos="420"/>
      </w:tabs>
      <w:spacing w:before="156" w:after="156" w:line="300" w:lineRule="auto"/>
      <w:ind w:left="420" w:hanging="420"/>
    </w:pPr>
    <w:rPr>
      <w:rFonts w:ascii="Arial" w:hAnsi="Arial" w:eastAsia="宋体" w:cs="Times New Roman"/>
      <w:kern w:val="24"/>
      <w:sz w:val="24"/>
      <w:szCs w:val="24"/>
      <w:lang w:val="en-US" w:eastAsia="zh-CN" w:bidi="ar-SA"/>
    </w:rPr>
  </w:style>
  <w:style w:type="paragraph" w:styleId="17">
    <w:name w:val="Document Map"/>
    <w:basedOn w:val="1"/>
    <w:qFormat/>
    <w:uiPriority w:val="0"/>
    <w:pPr>
      <w:shd w:val="clear" w:color="auto" w:fill="000080"/>
    </w:pPr>
  </w:style>
  <w:style w:type="paragraph" w:styleId="18">
    <w:name w:val="annotation text"/>
    <w:basedOn w:val="1"/>
    <w:qFormat/>
    <w:uiPriority w:val="0"/>
    <w:pPr>
      <w:jc w:val="left"/>
    </w:pPr>
  </w:style>
  <w:style w:type="paragraph" w:styleId="19">
    <w:name w:val="Body Text 3"/>
    <w:basedOn w:val="1"/>
    <w:qFormat/>
    <w:uiPriority w:val="0"/>
    <w:pPr>
      <w:jc w:val="center"/>
    </w:pPr>
    <w:rPr>
      <w:szCs w:val="20"/>
    </w:rPr>
  </w:style>
  <w:style w:type="paragraph" w:styleId="20">
    <w:name w:val="Body Text Indent"/>
    <w:basedOn w:val="1"/>
    <w:next w:val="1"/>
    <w:qFormat/>
    <w:uiPriority w:val="0"/>
    <w:pPr>
      <w:ind w:left="200" w:hanging="200" w:hangingChars="200"/>
    </w:pPr>
    <w:rPr>
      <w:sz w:val="24"/>
    </w:rPr>
  </w:style>
  <w:style w:type="paragraph" w:styleId="21">
    <w:name w:val="Block Text"/>
    <w:basedOn w:val="1"/>
    <w:qFormat/>
    <w:uiPriority w:val="0"/>
    <w:pPr>
      <w:spacing w:line="300" w:lineRule="exact"/>
      <w:ind w:left="43" w:leftChars="43" w:right="12" w:rightChars="12" w:firstLine="200" w:firstLineChars="200"/>
    </w:pPr>
    <w:rPr>
      <w:rFonts w:ascii="仿宋_GB2312" w:eastAsia="仿宋_GB2312"/>
      <w:sz w:val="24"/>
    </w:rPr>
  </w:style>
  <w:style w:type="paragraph" w:styleId="22">
    <w:name w:val="List Bullet 2"/>
    <w:basedOn w:val="1"/>
    <w:qFormat/>
    <w:uiPriority w:val="0"/>
    <w:pPr>
      <w:tabs>
        <w:tab w:val="left" w:pos="780"/>
      </w:tabs>
      <w:ind w:left="780" w:hanging="360"/>
    </w:pPr>
    <w:rPr>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next w:val="1"/>
    <w:qFormat/>
    <w:uiPriority w:val="0"/>
    <w:pPr>
      <w:widowControl/>
      <w:overflowPunct w:val="0"/>
      <w:autoSpaceDE w:val="0"/>
      <w:autoSpaceDN w:val="0"/>
      <w:adjustRightInd w:val="0"/>
      <w:jc w:val="left"/>
      <w:textAlignment w:val="baseline"/>
    </w:pPr>
    <w:rPr>
      <w:rFonts w:ascii="宋体" w:eastAsia="宋体"/>
      <w:sz w:val="21"/>
      <w:szCs w:val="21"/>
      <w:lang w:val="en-US" w:eastAsia="zh-CN" w:bidi="ar-SA"/>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500" w:lineRule="exact"/>
      <w:ind w:firstLine="213" w:firstLineChars="213"/>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Body Text Indent 3"/>
    <w:basedOn w:val="1"/>
    <w:qFormat/>
    <w:uiPriority w:val="0"/>
    <w:pPr>
      <w:spacing w:line="500" w:lineRule="exact"/>
      <w:ind w:left="213" w:hanging="213" w:hangingChars="213"/>
    </w:pPr>
    <w:rPr>
      <w:sz w:val="24"/>
    </w:rPr>
  </w:style>
  <w:style w:type="paragraph" w:styleId="35">
    <w:name w:val="toc 2"/>
    <w:basedOn w:val="1"/>
    <w:next w:val="1"/>
    <w:qFormat/>
    <w:uiPriority w:val="0"/>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38">
    <w:name w:val="Title"/>
    <w:basedOn w:val="1"/>
    <w:qFormat/>
    <w:uiPriority w:val="0"/>
    <w:pPr>
      <w:spacing w:before="240" w:after="60"/>
      <w:jc w:val="center"/>
      <w:outlineLvl w:val="0"/>
    </w:pPr>
    <w:rPr>
      <w:rFonts w:ascii="Arial" w:hAnsi="Arial" w:cs="Arial"/>
      <w:sz w:val="32"/>
      <w:szCs w:val="32"/>
      <w:lang w:bidi="ar-SA"/>
    </w:rPr>
  </w:style>
  <w:style w:type="paragraph" w:styleId="39">
    <w:name w:val="annotation subject"/>
    <w:basedOn w:val="18"/>
    <w:next w:val="18"/>
    <w:qFormat/>
    <w:uiPriority w:val="0"/>
    <w:rPr>
      <w:b/>
      <w:bCs/>
    </w:rPr>
  </w:style>
  <w:style w:type="paragraph" w:styleId="40">
    <w:name w:val="Body Text First Indent 2"/>
    <w:basedOn w:val="20"/>
    <w:qFormat/>
    <w:uiPriority w:val="0"/>
    <w:pPr>
      <w:spacing w:after="120" w:afterLines="0" w:line="240" w:lineRule="auto"/>
      <w:ind w:left="420" w:leftChars="200" w:firstLine="420"/>
      <w:jc w:val="both"/>
    </w:pPr>
    <w:rPr>
      <w:rFonts w:ascii="Times New Roman" w:hAnsi="Times New Roman" w:eastAsia="宋体" w:cs="Times New Roman"/>
      <w:color w:val="auto"/>
      <w:sz w:val="21"/>
      <w:szCs w:val="20"/>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Emphasis"/>
    <w:qFormat/>
    <w:uiPriority w:val="0"/>
    <w:rPr>
      <w:i/>
      <w:iCs/>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样式 标题 3 + (中文) 黑体 小四 非加粗 段前: 7.8 磅 段后: 0 磅 行距: 固定值 20 磅_0"/>
    <w:basedOn w:val="50"/>
    <w:qFormat/>
    <w:uiPriority w:val="0"/>
    <w:pPr>
      <w:spacing w:before="0" w:after="0" w:line="400" w:lineRule="exact"/>
    </w:pPr>
    <w:rPr>
      <w:rFonts w:ascii="Times New Roman" w:hAnsi="Times New Roman" w:eastAsia="黑体" w:cs="宋体"/>
      <w:b w:val="0"/>
      <w:bCs w:val="0"/>
      <w:sz w:val="21"/>
      <w:szCs w:val="20"/>
    </w:rPr>
  </w:style>
  <w:style w:type="paragraph" w:customStyle="1" w:styleId="50">
    <w:name w:val="标题 3_0"/>
    <w:basedOn w:val="51"/>
    <w:next w:val="52"/>
    <w:qFormat/>
    <w:uiPriority w:val="0"/>
    <w:pPr>
      <w:keepNext/>
      <w:keepLines/>
      <w:spacing w:before="260" w:after="260" w:line="416" w:lineRule="auto"/>
      <w:outlineLvl w:val="2"/>
    </w:pPr>
    <w:rPr>
      <w:rFonts w:ascii="Calibri" w:hAnsi="Calibri" w:eastAsia="宋体" w:cs="Times New Roman"/>
      <w:b/>
      <w:bCs/>
      <w:sz w:val="32"/>
      <w:szCs w:val="32"/>
    </w:rPr>
  </w:style>
  <w:style w:type="paragraph" w:customStyle="1" w:styleId="51">
    <w:name w:val="正文_0"/>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1"/>
    <w:next w:val="4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font11"/>
    <w:basedOn w:val="43"/>
    <w:qFormat/>
    <w:uiPriority w:val="0"/>
    <w:rPr>
      <w:rFonts w:hint="eastAsia" w:ascii="宋体" w:hAnsi="宋体" w:eastAsia="宋体" w:cs="宋体"/>
      <w:b/>
      <w:color w:val="000000"/>
      <w:sz w:val="24"/>
      <w:szCs w:val="24"/>
      <w:u w:val="none"/>
    </w:rPr>
  </w:style>
  <w:style w:type="character" w:customStyle="1" w:styleId="54">
    <w:name w:val="font01"/>
    <w:basedOn w:val="43"/>
    <w:qFormat/>
    <w:uiPriority w:val="0"/>
    <w:rPr>
      <w:rFonts w:ascii="新宋体" w:hAnsi="新宋体" w:eastAsia="新宋体" w:cs="新宋体"/>
      <w:b/>
      <w:color w:val="000000"/>
      <w:sz w:val="24"/>
      <w:szCs w:val="24"/>
      <w:u w:val="none"/>
    </w:rPr>
  </w:style>
  <w:style w:type="character" w:customStyle="1" w:styleId="55">
    <w:name w:val="px141"/>
    <w:qFormat/>
    <w:uiPriority w:val="0"/>
    <w:rPr>
      <w:sz w:val="21"/>
      <w:szCs w:val="21"/>
    </w:rPr>
  </w:style>
  <w:style w:type="character" w:customStyle="1" w:styleId="56">
    <w:name w:val="f16b1"/>
    <w:qFormat/>
    <w:uiPriority w:val="0"/>
    <w:rPr>
      <w:b/>
      <w:bCs/>
      <w:color w:val="333333"/>
      <w:sz w:val="22"/>
      <w:szCs w:val="22"/>
    </w:rPr>
  </w:style>
  <w:style w:type="character" w:customStyle="1" w:styleId="57">
    <w:name w:val="Texte Char Char"/>
    <w:qFormat/>
    <w:uiPriority w:val="0"/>
    <w:rPr>
      <w:rFonts w:ascii="宋体" w:eastAsia="宋体"/>
      <w:sz w:val="21"/>
      <w:szCs w:val="21"/>
      <w:lang w:val="en-US" w:eastAsia="zh-CN" w:bidi="ar-SA"/>
    </w:rPr>
  </w:style>
  <w:style w:type="character" w:customStyle="1" w:styleId="58">
    <w:name w:val=" Char Char Char"/>
    <w:qFormat/>
    <w:uiPriority w:val="0"/>
    <w:rPr>
      <w:rFonts w:ascii="宋体" w:eastAsia="宋体"/>
      <w:sz w:val="21"/>
      <w:szCs w:val="21"/>
      <w:lang w:val="en-US" w:eastAsia="zh-CN" w:bidi="ar-SA"/>
    </w:rPr>
  </w:style>
  <w:style w:type="character" w:customStyle="1" w:styleId="59">
    <w:name w:val="标题 Char"/>
    <w:qFormat/>
    <w:uiPriority w:val="0"/>
    <w:rPr>
      <w:rFonts w:ascii="Cambria" w:hAnsi="Cambria" w:cs="Times New Roman"/>
      <w:b/>
      <w:bCs/>
      <w:kern w:val="2"/>
      <w:sz w:val="32"/>
      <w:szCs w:val="32"/>
      <w:lang w:bidi="ar-SA"/>
    </w:rPr>
  </w:style>
  <w:style w:type="character" w:customStyle="1" w:styleId="60">
    <w:name w:val="标题 2字符"/>
    <w:qFormat/>
    <w:uiPriority w:val="0"/>
    <w:rPr>
      <w:rFonts w:ascii="Arial" w:hAnsi="Arial" w:eastAsia="宋体" w:cs="Times New Roman"/>
      <w:b/>
      <w:bCs/>
      <w:kern w:val="2"/>
      <w:sz w:val="28"/>
      <w:szCs w:val="32"/>
      <w:lang w:val="en-US" w:eastAsia="zh-CN" w:bidi="ar-SA"/>
    </w:rPr>
  </w:style>
  <w:style w:type="character" w:customStyle="1" w:styleId="61">
    <w:name w:val="title1"/>
    <w:qFormat/>
    <w:uiPriority w:val="0"/>
    <w:rPr>
      <w:rFonts w:ascii="宋体" w:eastAsia="宋体"/>
      <w:b/>
      <w:bCs/>
      <w:sz w:val="22"/>
      <w:szCs w:val="22"/>
    </w:rPr>
  </w:style>
  <w:style w:type="character" w:customStyle="1" w:styleId="62">
    <w:name w:val="正文（首行缩进两字） Char1"/>
    <w:qFormat/>
    <w:uiPriority w:val="0"/>
    <w:rPr>
      <w:rFonts w:eastAsia="仿宋_GB2312"/>
      <w:kern w:val="2"/>
      <w:sz w:val="28"/>
      <w:szCs w:val="24"/>
    </w:rPr>
  </w:style>
  <w:style w:type="character" w:customStyle="1" w:styleId="63">
    <w:name w:val="b2"/>
    <w:qFormat/>
    <w:uiPriority w:val="0"/>
  </w:style>
  <w:style w:type="character" w:customStyle="1" w:styleId="64">
    <w:name w:val="font21"/>
    <w:qFormat/>
    <w:uiPriority w:val="0"/>
    <w:rPr>
      <w:rFonts w:hint="eastAsia" w:ascii="宋体" w:hAnsi="宋体" w:eastAsia="宋体" w:cs="宋体"/>
      <w:color w:val="000000"/>
      <w:sz w:val="21"/>
      <w:szCs w:val="21"/>
      <w:u w:val="none"/>
    </w:rPr>
  </w:style>
  <w:style w:type="character" w:customStyle="1" w:styleId="65">
    <w:name w:val="普通文字 Char"/>
    <w:qFormat/>
    <w:uiPriority w:val="0"/>
    <w:rPr>
      <w:rFonts w:ascii="宋体"/>
      <w:kern w:val="2"/>
      <w:sz w:val="21"/>
      <w:lang w:bidi="ar-SA"/>
    </w:rPr>
  </w:style>
  <w:style w:type="paragraph" w:customStyle="1" w:styleId="66">
    <w:name w:val=" Char Char Char Char Char Char Char"/>
    <w:basedOn w:val="1"/>
    <w:qFormat/>
    <w:uiPriority w:val="0"/>
    <w:rPr>
      <w:rFonts w:ascii="仿宋_GB2312" w:eastAsia="仿宋_GB2312"/>
      <w:b/>
      <w:sz w:val="32"/>
      <w:szCs w:val="32"/>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书正文样式"/>
    <w:basedOn w:val="1"/>
    <w:qFormat/>
    <w:uiPriority w:val="0"/>
    <w:pPr>
      <w:ind w:firstLine="200" w:firstLineChars="200"/>
      <w:jc w:val="left"/>
    </w:pPr>
    <w:rPr>
      <w:rFonts w:ascii="仿宋_GB2312" w:eastAsia="仿宋_GB2312"/>
      <w:sz w:val="28"/>
      <w:szCs w:val="28"/>
    </w:rPr>
  </w:style>
  <w:style w:type="paragraph" w:customStyle="1" w:styleId="69">
    <w:name w:val="默认段落字体 Para Char Char Char Char Char Char Char"/>
    <w:basedOn w:val="17"/>
    <w:qFormat/>
    <w:uiPriority w:val="0"/>
    <w:rPr>
      <w:rFonts w:ascii="Tahoma" w:hAnsi="Tahoma"/>
      <w:sz w:val="24"/>
      <w:szCs w:val="20"/>
    </w:rPr>
  </w:style>
  <w:style w:type="paragraph" w:customStyle="1" w:styleId="70">
    <w:name w:val="表内文字"/>
    <w:basedOn w:val="1"/>
    <w:qFormat/>
    <w:uiPriority w:val="0"/>
    <w:pPr>
      <w:spacing w:line="240" w:lineRule="atLeast"/>
      <w:jc w:val="center"/>
    </w:pPr>
    <w:rPr>
      <w:rFonts w:ascii="Arial" w:hAnsi="Arial" w:cs="Arial"/>
      <w:b/>
      <w:bCs/>
      <w:lang w:bidi="ar-SA"/>
    </w:rPr>
  </w:style>
  <w:style w:type="paragraph" w:customStyle="1" w:styleId="71">
    <w:name w:val="Char Char"/>
    <w:basedOn w:val="1"/>
    <w:qFormat/>
    <w:uiPriority w:val="0"/>
    <w:rPr>
      <w:rFonts w:ascii="仿宋_GB2312" w:eastAsia="仿宋_GB2312"/>
      <w:b/>
      <w:sz w:val="32"/>
      <w:szCs w:val="32"/>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3">
    <w:name w:val="保留正文"/>
    <w:basedOn w:val="3"/>
    <w:qFormat/>
    <w:uiPriority w:val="0"/>
    <w:pPr>
      <w:keepNext/>
      <w:widowControl w:val="0"/>
      <w:spacing w:after="160"/>
    </w:pPr>
    <w:rPr>
      <w:szCs w:val="20"/>
    </w:rPr>
  </w:style>
  <w:style w:type="paragraph" w:customStyle="1" w:styleId="74">
    <w:name w:val="正文2"/>
    <w:basedOn w:val="1"/>
    <w:qFormat/>
    <w:uiPriority w:val="0"/>
    <w:pPr>
      <w:spacing w:before="156" w:line="360" w:lineRule="auto"/>
      <w:ind w:firstLine="200" w:firstLineChars="200"/>
    </w:pPr>
    <w:rPr>
      <w:sz w:val="24"/>
      <w:szCs w:val="20"/>
    </w:rPr>
  </w:style>
  <w:style w:type="paragraph" w:customStyle="1" w:styleId="75">
    <w:name w:val=" Char3"/>
    <w:basedOn w:val="17"/>
    <w:qFormat/>
    <w:uiPriority w:val="0"/>
  </w:style>
  <w:style w:type="paragraph" w:customStyle="1" w:styleId="76">
    <w:name w:val="Char Char Char Char Char Char"/>
    <w:basedOn w:val="1"/>
    <w:qFormat/>
    <w:uiPriority w:val="0"/>
    <w:pPr>
      <w:ind w:firstLine="200" w:firstLineChars="200"/>
    </w:pPr>
    <w:rPr>
      <w:rFonts w:ascii="Tahoma" w:hAnsi="Tahoma" w:cs="Tahoma"/>
      <w:sz w:val="24"/>
      <w:lang w:bidi="ar-SA"/>
    </w:rPr>
  </w:style>
  <w:style w:type="paragraph" w:customStyle="1" w:styleId="7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eastAsia="Arial Unicode MS"/>
      <w:kern w:val="0"/>
      <w:sz w:val="24"/>
    </w:rPr>
  </w:style>
  <w:style w:type="paragraph" w:customStyle="1" w:styleId="7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9">
    <w:name w:val=" Char Char Char Char Char Char Char Char Char Char Char Char Char"/>
    <w:basedOn w:val="1"/>
    <w:qFormat/>
    <w:uiPriority w:val="0"/>
    <w:rPr>
      <w:rFonts w:ascii="Tahoma" w:hAnsi="Tahoma"/>
      <w:sz w:val="24"/>
      <w:szCs w:val="20"/>
    </w:rPr>
  </w:style>
  <w:style w:type="paragraph" w:customStyle="1" w:styleId="80">
    <w:name w:val="招标正文"/>
    <w:basedOn w:val="1"/>
    <w:qFormat/>
    <w:uiPriority w:val="0"/>
    <w:pPr>
      <w:widowControl/>
      <w:spacing w:line="360" w:lineRule="auto"/>
      <w:ind w:firstLine="200" w:firstLineChars="200"/>
    </w:pPr>
    <w:rPr>
      <w:snapToGrid w:val="0"/>
      <w:kern w:val="0"/>
      <w:sz w:val="24"/>
      <w:lang w:val="en-GB" w:eastAsia="en-GB"/>
    </w:rPr>
  </w:style>
  <w:style w:type="paragraph" w:customStyle="1" w:styleId="81">
    <w:name w:val="table_1stline"/>
    <w:basedOn w:val="1"/>
    <w:qFormat/>
    <w:uiPriority w:val="0"/>
    <w:pPr>
      <w:widowControl/>
      <w:spacing w:before="120"/>
      <w:jc w:val="left"/>
    </w:pPr>
    <w:rPr>
      <w:bCs/>
      <w:kern w:val="0"/>
      <w:sz w:val="20"/>
      <w:szCs w:val="20"/>
      <w:lang w:val="de-DE" w:eastAsia="de-DE"/>
    </w:rPr>
  </w:style>
  <w:style w:type="paragraph" w:customStyle="1" w:styleId="82">
    <w:name w:val="List Paragraph1"/>
    <w:basedOn w:val="1"/>
    <w:qFormat/>
    <w:uiPriority w:val="0"/>
    <w:pPr>
      <w:widowControl/>
      <w:spacing w:line="300" w:lineRule="auto"/>
      <w:ind w:firstLine="420" w:firstLineChars="200"/>
    </w:pPr>
    <w:rPr>
      <w:rFonts w:ascii="Arial" w:hAnsi="Arial"/>
      <w:kern w:val="0"/>
      <w:sz w:val="18"/>
      <w:szCs w:val="20"/>
    </w:rPr>
  </w:style>
  <w:style w:type="paragraph" w:customStyle="1" w:styleId="83">
    <w:name w:val="表格文字"/>
    <w:basedOn w:val="25"/>
    <w:next w:val="3"/>
    <w:qFormat/>
    <w:uiPriority w:val="0"/>
    <w:pPr>
      <w:adjustRightInd w:val="0"/>
      <w:spacing w:line="420" w:lineRule="atLeast"/>
      <w:jc w:val="left"/>
      <w:textAlignment w:val="baseline"/>
    </w:pPr>
    <w:rPr>
      <w:rFonts w:ascii="Times New Roman" w:hAnsi="Times New Roman"/>
      <w:szCs w:val="24"/>
    </w:rPr>
  </w:style>
  <w:style w:type="paragraph" w:customStyle="1" w:styleId="84">
    <w:name w:val=" Char1"/>
    <w:basedOn w:val="1"/>
    <w:qFormat/>
    <w:uiPriority w:val="0"/>
    <w:rPr>
      <w:rFonts w:ascii="仿宋_GB2312" w:eastAsia="仿宋_GB2312"/>
      <w:b/>
      <w:sz w:val="32"/>
      <w:szCs w:val="32"/>
    </w:rPr>
  </w:style>
  <w:style w:type="paragraph" w:styleId="85">
    <w:name w:val="List Paragraph"/>
    <w:basedOn w:val="1"/>
    <w:qFormat/>
    <w:uiPriority w:val="0"/>
    <w:pPr>
      <w:ind w:firstLine="200" w:firstLineChars="200"/>
    </w:pPr>
    <w:rPr>
      <w:rFonts w:ascii="Calibri" w:hAnsi="Calibri"/>
      <w:szCs w:val="22"/>
    </w:rPr>
  </w:style>
  <w:style w:type="paragraph" w:customStyle="1" w:styleId="86">
    <w:name w:val="样式 首行缩进:  2 字符"/>
    <w:basedOn w:val="1"/>
    <w:qFormat/>
    <w:uiPriority w:val="0"/>
    <w:pPr>
      <w:spacing w:line="360" w:lineRule="auto"/>
      <w:ind w:firstLine="200" w:firstLineChars="200"/>
    </w:pPr>
    <w:rPr>
      <w:rFonts w:cs="宋体"/>
      <w:sz w:val="24"/>
      <w:szCs w:val="20"/>
      <w:lang w:bidi="ar-SA"/>
    </w:rPr>
  </w:style>
  <w:style w:type="paragraph" w:customStyle="1" w:styleId="87">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8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9">
    <w:name w:val="Char"/>
    <w:basedOn w:val="1"/>
    <w:qFormat/>
    <w:uiPriority w:val="0"/>
    <w:rPr>
      <w:rFonts w:eastAsia="仿宋_GB2312"/>
      <w:sz w:val="28"/>
    </w:rPr>
  </w:style>
  <w:style w:type="character" w:customStyle="1" w:styleId="90">
    <w:name w:val="font41"/>
    <w:basedOn w:val="43"/>
    <w:qFormat/>
    <w:uiPriority w:val="0"/>
    <w:rPr>
      <w:rFonts w:hint="default" w:ascii="Times New Roman" w:hAnsi="Times New Roman" w:cs="Times New Roman"/>
      <w:color w:val="000000"/>
      <w:sz w:val="21"/>
      <w:szCs w:val="21"/>
      <w:u w:val="none"/>
    </w:rPr>
  </w:style>
  <w:style w:type="paragraph" w:customStyle="1" w:styleId="91">
    <w:name w:val="列表段落2"/>
    <w:basedOn w:val="1"/>
    <w:qFormat/>
    <w:uiPriority w:val="99"/>
    <w:pPr>
      <w:ind w:firstLine="420" w:firstLineChars="200"/>
    </w:pPr>
  </w:style>
  <w:style w:type="paragraph" w:customStyle="1" w:styleId="92">
    <w:name w:val="列表段落1"/>
    <w:basedOn w:val="1"/>
    <w:qFormat/>
    <w:uiPriority w:val="0"/>
    <w:pPr>
      <w:ind w:firstLine="200" w:firstLineChars="200"/>
    </w:pPr>
  </w:style>
  <w:style w:type="table" w:customStyle="1" w:styleId="93">
    <w:name w:val="网格型1"/>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样式1"/>
    <w:basedOn w:val="1"/>
    <w:qFormat/>
    <w:uiPriority w:val="0"/>
    <w:pPr>
      <w:spacing w:line="360" w:lineRule="exact"/>
      <w:ind w:firstLine="200" w:firstLineChars="200"/>
    </w:pPr>
    <w:rPr>
      <w:rFonts w:ascii="Arial" w:hAnsi="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ontrol" Target="activeX/activeX8.xml"/><Relationship Id="rId20" Type="http://schemas.openxmlformats.org/officeDocument/2006/relationships/control" Target="activeX/activeX7.xml"/><Relationship Id="rId2" Type="http://schemas.openxmlformats.org/officeDocument/2006/relationships/settings" Target="settings.xml"/><Relationship Id="rId19" Type="http://schemas.openxmlformats.org/officeDocument/2006/relationships/control" Target="activeX/activeX6.xml"/><Relationship Id="rId18" Type="http://schemas.openxmlformats.org/officeDocument/2006/relationships/control" Target="activeX/activeX5.xml"/><Relationship Id="rId17" Type="http://schemas.openxmlformats.org/officeDocument/2006/relationships/control" Target="activeX/activeX4.xml"/><Relationship Id="rId16" Type="http://schemas.openxmlformats.org/officeDocument/2006/relationships/control" Target="activeX/activeX3.xml"/><Relationship Id="rId15" Type="http://schemas.openxmlformats.org/officeDocument/2006/relationships/image" Target="media/image2.wmf"/><Relationship Id="rId14" Type="http://schemas.openxmlformats.org/officeDocument/2006/relationships/control" Target="activeX/activeX2.xml"/><Relationship Id="rId13" Type="http://schemas.openxmlformats.org/officeDocument/2006/relationships/image" Target="media/image1.wmf"/><Relationship Id="rId12" Type="http://schemas.openxmlformats.org/officeDocument/2006/relationships/control" Target="activeX/activeX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17378</Words>
  <Characters>18147</Characters>
  <Lines>1</Lines>
  <Paragraphs>1</Paragraphs>
  <TotalTime>6</TotalTime>
  <ScaleCrop>false</ScaleCrop>
  <LinksUpToDate>false</LinksUpToDate>
  <CharactersWithSpaces>19433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2023-06-20T06:29:00Z</dcterms:created>
  <dc:creator>hp</dc:creator>
  <cp:lastModifiedBy>张三</cp:lastModifiedBy>
  <cp:lastPrinted>2018-04-19T02:17:00Z</cp:lastPrinted>
  <dcterms:modified xsi:type="dcterms:W3CDTF">2025-12-10T02:14:05Z</dcterms:modified>
  <dc:title>温州市政府（分散）采购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E5B25F3DA8B041FD950C1CDC20556CA6_13</vt:lpwstr>
  </property>
  <property fmtid="{D5CDD505-2E9C-101B-9397-08002B2CF9AE}" pid="4" name="KSOTemplateDocerSaveRecord">
    <vt:lpwstr>eyJoZGlkIjoiYmRiODAxMDUyODNiNDhlZDA4OWE4NDRhMTc0ZGFhYjMiLCJ1c2VySWQiOiIyNjkxNDI5MzQifQ==</vt:lpwstr>
  </property>
</Properties>
</file>